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2" w:rsidRDefault="002054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 31.</w:t>
      </w:r>
      <w:r w:rsidR="00482C34">
        <w:rPr>
          <w:rFonts w:ascii="Times New Roman" w:eastAsia="Times New Roman" w:hAnsi="Times New Roman" w:cs="Times New Roman"/>
          <w:color w:val="000000"/>
          <w:sz w:val="22"/>
          <w:szCs w:val="22"/>
        </w:rPr>
        <w:t>05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.201</w:t>
      </w:r>
      <w:r w:rsidR="00482C34"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</w:p>
    <w:p w:rsidR="00023052" w:rsidRDefault="002054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 УКРАЇНИ </w:t>
      </w:r>
    </w:p>
    <w:p w:rsidR="00023052" w:rsidRDefault="002054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 внесення змін до Кримінального процесуального кодексу України щодо особливостей досудового розслідування та судового провадження у справах, в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яких матеріали провадження недоступні або знищені на </w:t>
      </w: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тимчасово окупованих територіях</w:t>
      </w:r>
    </w:p>
    <w:p w:rsidR="00023052" w:rsidRDefault="002054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Верховна Рада України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3052" w:rsidRDefault="002054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Доповнити </w:t>
      </w:r>
      <w:hyperlink r:id="rId4">
        <w:r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Кримінальний процесуальний кодекс України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(Відомості Верховної Ради України, 2012 р., №№ 9-13, ст. 88) розділом IX</w:t>
      </w:r>
      <w:r>
        <w:rPr>
          <w:rFonts w:ascii="Times New Roman" w:eastAsia="Times New Roman" w:hAnsi="Times New Roman" w:cs="Times New Roman"/>
          <w:b/>
          <w:color w:val="000000"/>
          <w:sz w:val="2"/>
          <w:szCs w:val="2"/>
          <w:vertAlign w:val="superscript"/>
        </w:rPr>
        <w:t>--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vertAlign w:val="superscript"/>
        </w:rPr>
        <w:t xml:space="preserve">2 </w:t>
      </w: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 змісту:</w:t>
      </w:r>
    </w:p>
    <w:p w:rsidR="00023052" w:rsidRDefault="002054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"Розділ IX-2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ОСОБЛИВОСТІ ДОСУДОВОГО РОЗСЛІДУВАННЯ ТА СУДОВОГО ПРОВАДЖЕННЯ У СПРАВАХ, В ЯКИХ МАТЕРІАЛИ ПРОВАДЖЕННЯ НЕДОСТУПНІ АБО ЗНИЩЕНІ НА ТИМЧАСОВО ОКУПОВАНИХ ТЕРИТОРІЯХ</w:t>
      </w:r>
      <w:bookmarkStart w:id="4" w:name="3znysh7" w:colFirst="0" w:colLast="0"/>
      <w:bookmarkEnd w:id="4"/>
    </w:p>
    <w:p w:rsidR="00023052" w:rsidRDefault="002054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Стаття 61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досудового розслідування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справах, в яких матеріали досудового провадження недоступні або знищені на </w:t>
      </w:r>
      <w:bookmarkStart w:id="6" w:name="kix.4u1glh1wv6uz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тимчасово окупованих територіях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Слідчий, прокурор зобов’язані закрити кримінальне провадження в разі, якщо протягом шести місяців з дня набрання чинності цим Законом обвинувальний акт не переданий до суду у зв’язку з тим, що матеріали провадження недоступні або знищені на тимчасово окупованих територіях, а матеріали не можна відновити або зібрати нові матеріали для передачі справи до суду.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Стаття 616-1.</w:t>
      </w:r>
      <w:bookmarkStart w:id="7" w:name="kix.btnctefldiex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 Особливості судового розгляду у справах, в яких матеріали судового провадження недоступні або знищені на </w:t>
      </w:r>
      <w:bookmarkStart w:id="8" w:name="kix.kykua5mennax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тимчасово окупованих територіях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Суд, протягом шести місяців з дня надходження обвинувального акту призначає судове засідання.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Під час судового розгляду суд використовує ту частину матеріалів кримінального провадження, яка надані сторонами кримінального провадження. </w:t>
      </w:r>
    </w:p>
    <w:p w:rsidR="00023052" w:rsidRDefault="002054E1">
      <w:pP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Суд, якщо це можливо, має право допитати як свідків осіб, які були присутніми під час вчинення процесуальних дій, осіб (їх представників), які брали участь у судовому розгляді, а в необхідних випадках - осіб, які входили до складу суду, що здійснював судовий розгляд, а також осіб, які виконували судове рішення.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Суд постановляє ухвалу про закриття кримінального провадження у разі, якщо матеріали провадження, які недоступні або знищені на тимчасово окупованих територіях, не можна відновити або зібрати нові матеріали для розгляду справи судом.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Стаття 616-2.</w:t>
      </w:r>
      <w:bookmarkStart w:id="9" w:name="kix.1cz3s2riutn5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 Особливості провадження в суді апеляційної інстанції у справах, в яких матеріали судового провадження недоступні або знищені на </w:t>
      </w:r>
      <w:bookmarkStart w:id="10" w:name="kix.1jdnazabv4ag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тимчасово окупованих територіях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Сторона кримінального провадження, яка оскаржує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апеляційному порядку вирок,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матеріали справи якого недоступні або знищені на тимчасово окупованих територіях, протягом шести місяців може звернутися до суду в порядку, встановленому розділом VII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цього Кодексу, з урахуванням Закону України “Про забезпечення прав і свобод громадян та правовий режим на тимчасово окупованій території України”.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Стаття 616-3.</w:t>
      </w:r>
      <w:bookmarkStart w:id="11" w:name="kix.6ccofgw6o8gk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 Особливості провадження в суді касаційної інстанції у справах, в яких матеріали судового провадження недоступні або знищені на </w:t>
      </w:r>
      <w:bookmarkStart w:id="12" w:name="kix.uwghkcq91do3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тимчасово окупованих територіях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Касаційний розгляд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справ, в яких матеріали судового провадження недоступні або знищені на </w:t>
      </w:r>
      <w:bookmarkStart w:id="13" w:name="kix.ro3nbmii4rko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тимчасово окупованих територіях, у разі, якщо розгляд касаційної скарги не потребує вивчення матеріалів судового провадження, здійснюється на підставі наявних матеріалів. 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 випадках, коли касаційний розгляд справи без матеріалів судового провадження неможливий,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 клопотанням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сторони (сторін) кримінального провадження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продовження строку касаційного розгляду, суд касаційної інстанції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надає строк до шести місяців стороні обвинувачення для відновлення матеріалів кримінального провадження. 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Суд касаційної інстанції, у разі неподання стороною обвинувачення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матеріалів кримінального провадження у строк, визначений частиною другою цієї статті,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закриває кримінальне провадження.</w:t>
      </w:r>
    </w:p>
    <w:p w:rsidR="00023052" w:rsidRDefault="00023052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Стаття 616-4.</w:t>
      </w:r>
      <w:bookmarkStart w:id="14" w:name="kix.i9tdr3om1s18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 Особливості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здійснення кримінального провадження про перегляд судового рішення за нововиявленими або виключними обставинами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справах, в яких матеріали судового провадження недоступні або знищені на </w:t>
      </w:r>
      <w:bookmarkStart w:id="15" w:name="kix.n5xp3yrqnjmo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тимчасово окупованих територіях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Кримінальне провадження про перегляд судового рішення за нововиявленими або виключними обставинами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справах, в яких матеріали судового провадження недоступні або знищені на </w:t>
      </w:r>
      <w:bookmarkStart w:id="16" w:name="kix.saqvvjx2jw8w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 xml:space="preserve">тимчасово окупованих територіях у разі, якщо перегляд справи не потребує вивчення матеріалів судового провадження, здійснюється на підставі наявних матеріалів. 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 випадках, коли перегляд справи без матеріалів судового провадження неможливий,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 клопотанням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сторони (сторін) кримінального провадження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продовження строку касаційного розгляду, суд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надає строк до шести місяців стороні обвинувачення для відновлення матеріалів кримінального провадження. </w:t>
      </w:r>
    </w:p>
    <w:p w:rsidR="00023052" w:rsidRDefault="002054E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Суд, у разі неподання стороною обвинувачення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матеріалів кримінального провадження у строк, визначений частиною другою цієї статті,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закриває кримінальне провадження про перегляд судового рішення за нововиявленими або виключними обставинами </w:t>
      </w:r>
      <w:r>
        <w:rPr>
          <w:rFonts w:ascii="Times New Roman" w:eastAsia="Times New Roman" w:hAnsi="Times New Roman" w:cs="Times New Roman"/>
          <w:sz w:val="24"/>
          <w:szCs w:val="24"/>
        </w:rPr>
        <w:t>перегляд справи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023052" w:rsidRDefault="002054E1">
      <w:pP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Стаття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616-4.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Особливості укладення угоди про визнання винуватості у кримінальних провадженнях, в яких матеріали досудового або судового провадження недоступні або знищені на тимчасово окупованих територіях</w:t>
      </w:r>
    </w:p>
    <w:p w:rsidR="00023052" w:rsidRDefault="002054E1">
      <w:pP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Угода про визнання винуватості у кримінальних провадженнях, в яких матеріали досудового або судового провадження недоступні або знищені на тимчасово окупованих територіях може бути укладена за ініціативою прокурора або підозрюваного, обвинуваченого чи засудженого.</w:t>
      </w:r>
    </w:p>
    <w:p w:rsidR="00023052" w:rsidRDefault="002054E1">
      <w:pP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Угода про визнання винуватості між прокурором та підозрюваним, обвинуваченим чи засудженим може бути укладена у кримінальному  провадженні будь-якої категорії справ.</w:t>
      </w:r>
    </w:p>
    <w:p w:rsidR="00023052" w:rsidRDefault="002054E1">
      <w:pP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 Умовою укладення угоди про визнання винуватості між прокурором та підозрюваним є визнання особою у присутності судді (слідчого судді), в тому числі, у режимі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відеоконференції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під час трансляції з іншого приміщення, у тому числі яке знаходиться поза межами приміщення суду (дистанційне судове провадження), вини у вчиненні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кримінального правопорушення та надання письмової заяви про відмову від оскарження повідомлення особі про підозру.</w:t>
      </w:r>
    </w:p>
    <w:p w:rsidR="00023052" w:rsidRDefault="002054E1">
      <w:pP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Умовою укладення угоди про визнання винуватості між прокурором та обвинуваченим чи засудженим є визнання відповідно обвинуваченим чи засудженим під час судового засідання, в тому числі, у режимі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відеоконференції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під час трансляції з іншого приміщення, у тому числі яке знаходиться поза межами приміщення суду (дистанційне судове провадження), обвинувального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чи обвинувального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суду та надання письмової заяви про відмову від оскарження обвинувального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чи обвинувального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суду.</w:t>
      </w:r>
    </w:p>
    <w:p w:rsidR="00023052" w:rsidRDefault="002054E1">
      <w:pP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В угоді про визнання винуватості зазначаються її сторони, формулювання підозри, обвинувачення 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його правова кваліфікація з зазначенням статті (частини статті) закону України про кримінальну відповідальність, істотні для відповідного кримінального провадження обставини, беззастережне визнання підозрюваним, обвинуваченим чи засудженим своєї винуватості у вчиненні кримінального правопорушення, умови часткового звільнення підозрюваного, обвинуваченого чи засудженого від цивільної відповідальності у вигляді відшкодування державі збитків внаслідок вчинення ним кримінального правопорушення, узгоджене покарання та згода підозрюваного, обвинуваченого чи засудженого на його призначення або на призначення покарання та звільнення від його відбування з випробуванням, наслідки укладення та затвердження угоди, наслідки невиконання угоди. В угоді зазначається дата її укладення та вона скріплюється підписами сторін.</w:t>
      </w:r>
    </w:p>
    <w:p w:rsidR="00023052" w:rsidRDefault="002054E1">
      <w:pP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Наслідками угоди про визнання винуватості для підозрюваного, обвинуваченого чи засудженого може бути призначення судом мінімального строку або менш тяжкого вид покарання за санкцією статті закону України про кримінальну відповідальність, а у випадку підозри, обвинувачення, засудження за вчинення злочину, за який передбачене покарання у виді довічного позбавлення волі,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довічник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наслідком є зменшення строку відбування покарання до 25 років позбавлення волі без можливості подальшого оскарження або 2/3 строку.</w:t>
      </w:r>
    </w:p>
    <w:p w:rsidR="00023052" w:rsidRDefault="002054E1">
      <w:pP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 Суд розглядає у спрощеному провадженні питання про затвердження угоди про визнання винуватості для підозрюваного, обвинуваченого чи засудженого або відмову в затвердженні угоди у п’ятиденний строк з дня отримання повідомлення про підозру, обвинувального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або обвинувального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клопотанням прокурора про її розгляд у спрощеному провадженні, вивчає його та додані до нього матеріали і виносить ухвалу.</w:t>
      </w:r>
    </w:p>
    <w:p w:rsidR="00023052" w:rsidRDefault="002054E1">
      <w:pP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Укладення угоди про визнання винуватості між прокурором та підозрюваним, обвинуваченим чи засудженим не позбавляє права на компенсацію потерпілим.”</w:t>
      </w:r>
    </w:p>
    <w:p w:rsidR="00023052" w:rsidRDefault="002054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Цей Закон набирає чинності з дня його опублікування.</w:t>
      </w:r>
    </w:p>
    <w:p w:rsidR="00023052" w:rsidRDefault="0002305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02305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3052"/>
    <w:rsid w:val="00023052"/>
    <w:rsid w:val="002054E1"/>
    <w:rsid w:val="004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58F3"/>
  <w15:docId w15:val="{48AAE2DC-DC6D-4BB5-A625-9A24026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4651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5394</Words>
  <Characters>3075</Characters>
  <Application>Microsoft Office Word</Application>
  <DocSecurity>0</DocSecurity>
  <Lines>25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3</cp:revision>
  <dcterms:created xsi:type="dcterms:W3CDTF">2019-06-11T20:21:00Z</dcterms:created>
  <dcterms:modified xsi:type="dcterms:W3CDTF">2019-06-11T20:27:00Z</dcterms:modified>
</cp:coreProperties>
</file>