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8A" w:rsidRPr="00AB296F" w:rsidRDefault="00B9158A">
      <w:pPr>
        <w:rPr>
          <w:rFonts w:ascii="Times New Roman" w:hAnsi="Times New Roman" w:cs="Times New Roman"/>
          <w:sz w:val="24"/>
          <w:szCs w:val="24"/>
        </w:rPr>
      </w:pPr>
      <w:bookmarkStart w:id="0" w:name="_GoBack"/>
      <w:bookmarkEnd w:id="0"/>
    </w:p>
    <w:p w:rsidR="00B268D3" w:rsidRPr="00AB296F" w:rsidRDefault="00B268D3">
      <w:pPr>
        <w:rPr>
          <w:rFonts w:ascii="Times New Roman" w:hAnsi="Times New Roman" w:cs="Times New Roman"/>
          <w:sz w:val="24"/>
          <w:szCs w:val="24"/>
        </w:rPr>
      </w:pPr>
      <w:r w:rsidRPr="00AB296F">
        <w:rPr>
          <w:rFonts w:ascii="Times New Roman" w:hAnsi="Times New Roman" w:cs="Times New Roman"/>
          <w:b/>
          <w:sz w:val="24"/>
          <w:szCs w:val="24"/>
        </w:rPr>
        <w:t>Інформація про стан здоров’я та медична таємниця. Конфіденційність інформації та її забезпечення у випадках пацієнтів з ВІЛ.</w:t>
      </w:r>
      <w:r w:rsidRPr="00AB296F">
        <w:rPr>
          <w:rFonts w:ascii="Times New Roman" w:hAnsi="Times New Roman" w:cs="Times New Roman"/>
          <w:sz w:val="24"/>
          <w:szCs w:val="24"/>
        </w:rPr>
        <w:t xml:space="preserve"> </w:t>
      </w:r>
    </w:p>
    <w:p w:rsidR="00CB499D" w:rsidRPr="00AB296F" w:rsidRDefault="00CB499D" w:rsidP="00B268D3">
      <w:pPr>
        <w:rPr>
          <w:rFonts w:ascii="Times New Roman" w:hAnsi="Times New Roman" w:cs="Times New Roman"/>
          <w:sz w:val="24"/>
          <w:szCs w:val="24"/>
        </w:rPr>
      </w:pPr>
      <w:r w:rsidRPr="00AB296F">
        <w:rPr>
          <w:rFonts w:ascii="Times New Roman" w:hAnsi="Times New Roman" w:cs="Times New Roman"/>
          <w:sz w:val="24"/>
          <w:szCs w:val="24"/>
        </w:rPr>
        <w:t>Складові захисту права на приватність – особисте</w:t>
      </w:r>
      <w:r w:rsidR="004A740F" w:rsidRPr="00AB296F">
        <w:rPr>
          <w:rFonts w:ascii="Times New Roman" w:hAnsi="Times New Roman" w:cs="Times New Roman"/>
          <w:sz w:val="24"/>
          <w:szCs w:val="24"/>
        </w:rPr>
        <w:t xml:space="preserve"> життя, </w:t>
      </w:r>
      <w:r w:rsidRPr="00AB296F">
        <w:rPr>
          <w:rFonts w:ascii="Times New Roman" w:hAnsi="Times New Roman" w:cs="Times New Roman"/>
          <w:sz w:val="24"/>
          <w:szCs w:val="24"/>
        </w:rPr>
        <w:t>приватне життя, житло, листування</w:t>
      </w:r>
      <w:r w:rsidR="00AE1C5A" w:rsidRPr="00AB296F">
        <w:rPr>
          <w:rFonts w:ascii="Times New Roman" w:hAnsi="Times New Roman" w:cs="Times New Roman"/>
          <w:sz w:val="24"/>
          <w:szCs w:val="24"/>
        </w:rPr>
        <w:t xml:space="preserve">. </w:t>
      </w:r>
    </w:p>
    <w:p w:rsidR="00CB499D" w:rsidRPr="00AB296F" w:rsidRDefault="00CB499D" w:rsidP="00B268D3">
      <w:pPr>
        <w:pStyle w:val="a3"/>
        <w:numPr>
          <w:ilvl w:val="0"/>
          <w:numId w:val="1"/>
        </w:numPr>
        <w:rPr>
          <w:rFonts w:ascii="Times New Roman" w:hAnsi="Times New Roman" w:cs="Times New Roman"/>
          <w:sz w:val="24"/>
          <w:szCs w:val="24"/>
        </w:rPr>
      </w:pPr>
      <w:r w:rsidRPr="00AB296F">
        <w:rPr>
          <w:rFonts w:ascii="Times New Roman" w:hAnsi="Times New Roman" w:cs="Times New Roman"/>
          <w:sz w:val="24"/>
          <w:szCs w:val="24"/>
        </w:rPr>
        <w:t>Питання про характеристику інформації, конфіденційна інформація як категорія.</w:t>
      </w:r>
    </w:p>
    <w:p w:rsidR="00B268D3" w:rsidRPr="00AB296F" w:rsidRDefault="00CB499D" w:rsidP="00B268D3">
      <w:pPr>
        <w:rPr>
          <w:rFonts w:ascii="Times New Roman" w:hAnsi="Times New Roman" w:cs="Times New Roman"/>
          <w:b/>
          <w:sz w:val="24"/>
          <w:szCs w:val="24"/>
        </w:rPr>
      </w:pPr>
      <w:r w:rsidRPr="00AB296F">
        <w:rPr>
          <w:rFonts w:ascii="Times New Roman" w:hAnsi="Times New Roman" w:cs="Times New Roman"/>
          <w:b/>
          <w:sz w:val="24"/>
          <w:szCs w:val="24"/>
        </w:rPr>
        <w:t>Яка інформація вважається конфіденційною</w:t>
      </w:r>
      <w:r w:rsidR="004A740F" w:rsidRPr="00AB296F">
        <w:rPr>
          <w:rFonts w:ascii="Times New Roman" w:hAnsi="Times New Roman" w:cs="Times New Roman"/>
          <w:b/>
          <w:sz w:val="24"/>
          <w:szCs w:val="24"/>
        </w:rPr>
        <w:t xml:space="preserve">? Визначення в законодавстві </w:t>
      </w:r>
    </w:p>
    <w:p w:rsidR="00CB499D" w:rsidRPr="00AB296F" w:rsidRDefault="004A740F" w:rsidP="00B268D3">
      <w:pPr>
        <w:rPr>
          <w:rFonts w:ascii="Times New Roman" w:hAnsi="Times New Roman" w:cs="Times New Roman"/>
          <w:sz w:val="24"/>
          <w:szCs w:val="24"/>
        </w:rPr>
      </w:pPr>
      <w:r w:rsidRPr="00AB296F">
        <w:rPr>
          <w:rFonts w:ascii="Times New Roman" w:hAnsi="Times New Roman" w:cs="Times New Roman"/>
          <w:sz w:val="24"/>
          <w:szCs w:val="24"/>
        </w:rPr>
        <w:t>Закон про інформацію, Закон про доступ до публічної інформації</w:t>
      </w:r>
      <w:r w:rsidR="00AE1C5A" w:rsidRPr="00AB296F">
        <w:rPr>
          <w:rFonts w:ascii="Times New Roman" w:hAnsi="Times New Roman" w:cs="Times New Roman"/>
          <w:sz w:val="24"/>
          <w:szCs w:val="24"/>
        </w:rPr>
        <w:t>, Закон про захист персональних даних</w:t>
      </w:r>
      <w:r w:rsidRPr="00AB296F">
        <w:rPr>
          <w:rFonts w:ascii="Times New Roman" w:hAnsi="Times New Roman" w:cs="Times New Roman"/>
          <w:sz w:val="24"/>
          <w:szCs w:val="24"/>
        </w:rPr>
        <w:t xml:space="preserve">. </w:t>
      </w:r>
    </w:p>
    <w:p w:rsidR="00AE1C5A" w:rsidRPr="00AB296F" w:rsidRDefault="00AE1C5A" w:rsidP="00B268D3">
      <w:pPr>
        <w:pStyle w:val="rvps2"/>
        <w:shd w:val="clear" w:color="auto" w:fill="FFFFFF"/>
        <w:spacing w:before="0" w:beforeAutospacing="0" w:after="150" w:afterAutospacing="0"/>
        <w:ind w:firstLine="450"/>
        <w:rPr>
          <w:color w:val="000000"/>
        </w:rPr>
      </w:pPr>
      <w:r w:rsidRPr="00AB296F">
        <w:rPr>
          <w:rStyle w:val="rvts44"/>
          <w:bCs/>
          <w:color w:val="000000"/>
        </w:rPr>
        <w:t xml:space="preserve">Стаття 7. Конфіденційна інформація (Закон про доступ до публічної інформації) </w:t>
      </w:r>
    </w:p>
    <w:p w:rsidR="00AE1C5A" w:rsidRPr="00AB296F" w:rsidRDefault="00AE1C5A" w:rsidP="00B268D3">
      <w:pPr>
        <w:pStyle w:val="rvps2"/>
        <w:shd w:val="clear" w:color="auto" w:fill="FFFFFF"/>
        <w:spacing w:before="0" w:beforeAutospacing="0" w:after="150" w:afterAutospacing="0"/>
        <w:ind w:firstLine="450"/>
        <w:rPr>
          <w:color w:val="000000"/>
        </w:rPr>
      </w:pPr>
      <w:bookmarkStart w:id="1" w:name="n52"/>
      <w:bookmarkEnd w:id="1"/>
      <w:r w:rsidRPr="00AB296F">
        <w:rPr>
          <w:color w:val="000000"/>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5" w:anchor="n87" w:history="1">
        <w:r w:rsidRPr="00AB296F">
          <w:rPr>
            <w:rStyle w:val="a4"/>
            <w:color w:val="006600"/>
          </w:rPr>
          <w:t>частині першій</w:t>
        </w:r>
      </w:hyperlink>
      <w:r w:rsidRPr="00AB296F">
        <w:rPr>
          <w:color w:val="000000"/>
        </w:rPr>
        <w:t> і </w:t>
      </w:r>
      <w:hyperlink r:id="rId6" w:anchor="n92" w:history="1">
        <w:r w:rsidRPr="00AB296F">
          <w:rPr>
            <w:rStyle w:val="a4"/>
            <w:color w:val="006600"/>
          </w:rPr>
          <w:t>другій статті 13</w:t>
        </w:r>
      </w:hyperlink>
      <w:r w:rsidR="00B268D3" w:rsidRPr="00AB296F">
        <w:rPr>
          <w:color w:val="000000"/>
        </w:rPr>
        <w:t xml:space="preserve"> </w:t>
      </w:r>
      <w:r w:rsidRPr="00AB296F">
        <w:rPr>
          <w:color w:val="000000"/>
        </w:rPr>
        <w:t>цього Закону.</w:t>
      </w:r>
    </w:p>
    <w:p w:rsidR="00AE1C5A" w:rsidRPr="00AB296F" w:rsidRDefault="00AE1C5A" w:rsidP="00B268D3">
      <w:pPr>
        <w:rPr>
          <w:rFonts w:ascii="Times New Roman" w:hAnsi="Times New Roman" w:cs="Times New Roman"/>
          <w:b/>
          <w:sz w:val="24"/>
          <w:szCs w:val="24"/>
        </w:rPr>
      </w:pPr>
      <w:r w:rsidRPr="00AB296F">
        <w:rPr>
          <w:rFonts w:ascii="Times New Roman" w:hAnsi="Times New Roman" w:cs="Times New Roman"/>
          <w:b/>
          <w:sz w:val="24"/>
          <w:szCs w:val="24"/>
        </w:rPr>
        <w:t xml:space="preserve">Який зміст конфіденційної інформації ? </w:t>
      </w:r>
    </w:p>
    <w:p w:rsidR="00B268D3" w:rsidRPr="00AB296F" w:rsidRDefault="00B268D3" w:rsidP="00B268D3">
      <w:pPr>
        <w:rPr>
          <w:rFonts w:ascii="Times New Roman" w:hAnsi="Times New Roman" w:cs="Times New Roman"/>
          <w:b/>
          <w:sz w:val="24"/>
          <w:szCs w:val="24"/>
        </w:rPr>
      </w:pPr>
      <w:r w:rsidRPr="00AB296F">
        <w:rPr>
          <w:rFonts w:ascii="Times New Roman" w:hAnsi="Times New Roman" w:cs="Times New Roman"/>
          <w:b/>
          <w:sz w:val="24"/>
          <w:szCs w:val="24"/>
        </w:rPr>
        <w:t xml:space="preserve">Режим захисту конфіденційної інформації. </w:t>
      </w:r>
    </w:p>
    <w:p w:rsidR="00AE1C5A" w:rsidRPr="00AB296F" w:rsidRDefault="00AE1C5A" w:rsidP="00B26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292B2C"/>
          <w:sz w:val="24"/>
          <w:szCs w:val="24"/>
          <w:lang w:eastAsia="uk-UA"/>
        </w:rPr>
      </w:pPr>
      <w:r w:rsidRPr="00AB296F">
        <w:rPr>
          <w:rFonts w:ascii="Times New Roman" w:eastAsia="Times New Roman" w:hAnsi="Times New Roman" w:cs="Times New Roman"/>
          <w:bCs/>
          <w:color w:val="292B2C"/>
          <w:sz w:val="24"/>
          <w:szCs w:val="24"/>
          <w:lang w:eastAsia="uk-UA"/>
        </w:rPr>
        <w:t xml:space="preserve">Закон про інформацію </w:t>
      </w:r>
    </w:p>
    <w:p w:rsidR="004A740F" w:rsidRPr="00AB296F" w:rsidRDefault="004A740F" w:rsidP="00B26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AB296F">
        <w:rPr>
          <w:rFonts w:ascii="Times New Roman" w:eastAsia="Times New Roman" w:hAnsi="Times New Roman" w:cs="Times New Roman"/>
          <w:b/>
          <w:bCs/>
          <w:color w:val="292B2C"/>
          <w:sz w:val="24"/>
          <w:szCs w:val="24"/>
          <w:lang w:eastAsia="uk-UA"/>
        </w:rPr>
        <w:t>Стаття 11.</w:t>
      </w:r>
      <w:r w:rsidRPr="00AB296F">
        <w:rPr>
          <w:rFonts w:ascii="Times New Roman" w:eastAsia="Times New Roman" w:hAnsi="Times New Roman" w:cs="Times New Roman"/>
          <w:color w:val="292B2C"/>
          <w:sz w:val="24"/>
          <w:szCs w:val="24"/>
          <w:lang w:eastAsia="uk-UA"/>
        </w:rPr>
        <w:t xml:space="preserve"> Інформація про фізичну особу </w:t>
      </w:r>
      <w:r w:rsidRPr="00AB296F">
        <w:rPr>
          <w:rFonts w:ascii="Times New Roman" w:eastAsia="Times New Roman" w:hAnsi="Times New Roman" w:cs="Times New Roman"/>
          <w:color w:val="292B2C"/>
          <w:sz w:val="24"/>
          <w:szCs w:val="24"/>
          <w:lang w:eastAsia="uk-UA"/>
        </w:rPr>
        <w:br/>
      </w:r>
    </w:p>
    <w:p w:rsidR="004A740F" w:rsidRPr="00AB296F" w:rsidRDefault="004A740F" w:rsidP="00B26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2" w:name="o82"/>
      <w:bookmarkEnd w:id="2"/>
      <w:r w:rsidRPr="00AB296F">
        <w:rPr>
          <w:rFonts w:ascii="Times New Roman" w:eastAsia="Times New Roman" w:hAnsi="Times New Roman" w:cs="Times New Roman"/>
          <w:color w:val="292B2C"/>
          <w:sz w:val="24"/>
          <w:szCs w:val="24"/>
          <w:lang w:eastAsia="uk-UA"/>
        </w:rPr>
        <w:t xml:space="preserve">     1. Інформація   про   фізичну   особу  (персональні  дані)  - відомості  чи  сукупність  відомостей  про  фізичну   особу,   яка ідентифікована або може бути конкретно ідентифікована. </w:t>
      </w:r>
      <w:r w:rsidRPr="00AB296F">
        <w:rPr>
          <w:rFonts w:ascii="Times New Roman" w:eastAsia="Times New Roman" w:hAnsi="Times New Roman" w:cs="Times New Roman"/>
          <w:color w:val="292B2C"/>
          <w:sz w:val="24"/>
          <w:szCs w:val="24"/>
          <w:lang w:eastAsia="uk-UA"/>
        </w:rPr>
        <w:br/>
      </w:r>
    </w:p>
    <w:p w:rsidR="004A740F" w:rsidRPr="00AB296F" w:rsidRDefault="004A740F" w:rsidP="00B26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3" w:name="o83"/>
      <w:bookmarkEnd w:id="3"/>
      <w:r w:rsidRPr="00AB296F">
        <w:rPr>
          <w:rFonts w:ascii="Times New Roman" w:eastAsia="Times New Roman" w:hAnsi="Times New Roman" w:cs="Times New Roman"/>
          <w:color w:val="292B2C"/>
          <w:sz w:val="24"/>
          <w:szCs w:val="24"/>
          <w:lang w:eastAsia="uk-UA"/>
        </w:rPr>
        <w:t xml:space="preserve">     2. 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До</w:t>
      </w:r>
      <w:r w:rsidR="00B268D3" w:rsidRPr="00AB296F">
        <w:rPr>
          <w:rFonts w:ascii="Times New Roman" w:eastAsia="Times New Roman" w:hAnsi="Times New Roman" w:cs="Times New Roman"/>
          <w:color w:val="292B2C"/>
          <w:sz w:val="24"/>
          <w:szCs w:val="24"/>
          <w:lang w:eastAsia="uk-UA"/>
        </w:rPr>
        <w:t xml:space="preserve"> </w:t>
      </w:r>
      <w:r w:rsidRPr="00AB296F">
        <w:rPr>
          <w:rFonts w:ascii="Times New Roman" w:eastAsia="Times New Roman" w:hAnsi="Times New Roman" w:cs="Times New Roman"/>
          <w:color w:val="292B2C"/>
          <w:sz w:val="24"/>
          <w:szCs w:val="24"/>
          <w:lang w:eastAsia="uk-UA"/>
        </w:rPr>
        <w:br/>
        <w:t xml:space="preserve">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 </w:t>
      </w:r>
      <w:r w:rsidRPr="00AB296F">
        <w:rPr>
          <w:rFonts w:ascii="Times New Roman" w:eastAsia="Times New Roman" w:hAnsi="Times New Roman" w:cs="Times New Roman"/>
          <w:color w:val="292B2C"/>
          <w:sz w:val="24"/>
          <w:szCs w:val="24"/>
          <w:lang w:eastAsia="uk-UA"/>
        </w:rPr>
        <w:br/>
      </w:r>
    </w:p>
    <w:p w:rsidR="004A740F" w:rsidRPr="00AB296F" w:rsidRDefault="004A740F" w:rsidP="00B26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bookmarkStart w:id="4" w:name="o84"/>
      <w:bookmarkEnd w:id="4"/>
      <w:r w:rsidRPr="00AB296F">
        <w:rPr>
          <w:rFonts w:ascii="Times New Roman" w:eastAsia="Times New Roman" w:hAnsi="Times New Roman" w:cs="Times New Roman"/>
          <w:color w:val="292B2C"/>
          <w:sz w:val="24"/>
          <w:szCs w:val="24"/>
          <w:lang w:eastAsia="uk-UA"/>
        </w:rPr>
        <w:t xml:space="preserve">     Кожному забезпечується  вільний  доступ  до  інформації,  яка стосується його особисто, крім випадків, передбачених законом. </w:t>
      </w:r>
      <w:r w:rsidRPr="00AB296F">
        <w:rPr>
          <w:rFonts w:ascii="Times New Roman" w:eastAsia="Times New Roman" w:hAnsi="Times New Roman" w:cs="Times New Roman"/>
          <w:color w:val="292B2C"/>
          <w:sz w:val="24"/>
          <w:szCs w:val="24"/>
          <w:lang w:eastAsia="uk-UA"/>
        </w:rPr>
        <w:br/>
      </w:r>
    </w:p>
    <w:p w:rsidR="004A740F" w:rsidRPr="00AB296F" w:rsidRDefault="00B268D3">
      <w:pPr>
        <w:rPr>
          <w:rFonts w:ascii="Times New Roman" w:hAnsi="Times New Roman" w:cs="Times New Roman"/>
          <w:b/>
          <w:sz w:val="24"/>
          <w:szCs w:val="24"/>
        </w:rPr>
      </w:pPr>
      <w:bookmarkStart w:id="5" w:name="o85"/>
      <w:bookmarkEnd w:id="5"/>
      <w:r w:rsidRPr="00AB296F">
        <w:rPr>
          <w:rFonts w:ascii="Times New Roman" w:hAnsi="Times New Roman" w:cs="Times New Roman"/>
          <w:b/>
          <w:sz w:val="24"/>
          <w:szCs w:val="24"/>
        </w:rPr>
        <w:t xml:space="preserve">Зв'язок із конфіденційною інформацією та захистом персональних даних. Поняття персональних даних і режим захисту. Основні механізми захисту. </w:t>
      </w:r>
    </w:p>
    <w:p w:rsidR="00245E5E" w:rsidRPr="00AB296F" w:rsidRDefault="00245E5E">
      <w:pPr>
        <w:rPr>
          <w:rFonts w:ascii="Times New Roman" w:hAnsi="Times New Roman" w:cs="Times New Roman"/>
          <w:sz w:val="24"/>
          <w:szCs w:val="24"/>
        </w:rPr>
      </w:pPr>
      <w:r w:rsidRPr="00AB296F">
        <w:rPr>
          <w:rFonts w:ascii="Times New Roman" w:hAnsi="Times New Roman" w:cs="Times New Roman"/>
          <w:b/>
          <w:sz w:val="24"/>
          <w:szCs w:val="24"/>
        </w:rPr>
        <w:t xml:space="preserve">(Звіт офісу Уповноваженого за 2017 рік ): </w:t>
      </w:r>
      <w:r w:rsidRPr="00AB296F">
        <w:rPr>
          <w:rFonts w:ascii="Times New Roman" w:hAnsi="Times New Roman" w:cs="Times New Roman"/>
          <w:sz w:val="24"/>
          <w:szCs w:val="24"/>
        </w:rPr>
        <w:t xml:space="preserve">Протягом 2017 року в рамках проведення планових та позапланових заходів контролю за додержанням вимог законодавства про захист персональних даних Управлінням з питань захисту персональних даних було складено та направлено до суду </w:t>
      </w:r>
      <w:r w:rsidRPr="00AB296F">
        <w:rPr>
          <w:rFonts w:ascii="Times New Roman" w:hAnsi="Times New Roman" w:cs="Times New Roman"/>
          <w:b/>
          <w:sz w:val="24"/>
          <w:szCs w:val="24"/>
        </w:rPr>
        <w:t>34 протоколи</w:t>
      </w:r>
      <w:r w:rsidRPr="00AB296F">
        <w:rPr>
          <w:rFonts w:ascii="Times New Roman" w:hAnsi="Times New Roman" w:cs="Times New Roman"/>
          <w:sz w:val="24"/>
          <w:szCs w:val="24"/>
        </w:rPr>
        <w:t xml:space="preserve">: 6 протоколів – за частиною другою статті 188- 39 Кодексу України про адміністративні правопорушення (невиконання законних вимог (приписів)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 27 протоколів – за частиною четвертою статті 188- 39 КУпАП (недодержання встановленого законодавством про захист персональних даних порядку захисту персональних даних, що </w:t>
      </w:r>
      <w:r w:rsidRPr="00AB296F">
        <w:rPr>
          <w:rFonts w:ascii="Times New Roman" w:hAnsi="Times New Roman" w:cs="Times New Roman"/>
          <w:sz w:val="24"/>
          <w:szCs w:val="24"/>
        </w:rPr>
        <w:lastRenderedPageBreak/>
        <w:t xml:space="preserve">призвело до незаконного доступу до них або порушення прав суб’єкта персональних даних); 1 протокол – за статтею 188- 40 КУпАП (невиконання законних вимог Уповноваженого Верховної Ради України з прав людини або представників Уповноваженого Верховної Ради України з прав людини). За результатами розгляду судом справ про адміністративні правопорушення </w:t>
      </w:r>
      <w:r w:rsidRPr="00AB296F">
        <w:rPr>
          <w:rFonts w:ascii="Times New Roman" w:hAnsi="Times New Roman" w:cs="Times New Roman"/>
          <w:b/>
          <w:sz w:val="24"/>
          <w:szCs w:val="24"/>
        </w:rPr>
        <w:t>у 2 справах осіб</w:t>
      </w:r>
      <w:r w:rsidRPr="00AB296F">
        <w:rPr>
          <w:rFonts w:ascii="Times New Roman" w:hAnsi="Times New Roman" w:cs="Times New Roman"/>
          <w:sz w:val="24"/>
          <w:szCs w:val="24"/>
        </w:rPr>
        <w:t xml:space="preserve"> було визнано винними та накладено адміністративне стягнення, </w:t>
      </w:r>
      <w:r w:rsidRPr="00AB296F">
        <w:rPr>
          <w:rFonts w:ascii="Times New Roman" w:hAnsi="Times New Roman" w:cs="Times New Roman"/>
          <w:b/>
          <w:sz w:val="24"/>
          <w:szCs w:val="24"/>
        </w:rPr>
        <w:t>у 13 справах особу визнано винною</w:t>
      </w:r>
      <w:r w:rsidRPr="00AB296F">
        <w:rPr>
          <w:rFonts w:ascii="Times New Roman" w:hAnsi="Times New Roman" w:cs="Times New Roman"/>
          <w:sz w:val="24"/>
          <w:szCs w:val="24"/>
        </w:rPr>
        <w:t>, проте провадження у справі було закрите у зв’язку із закінченням на момент розгляду справи строків накладення адміністративного стягнення.</w:t>
      </w:r>
    </w:p>
    <w:p w:rsidR="00C611C0" w:rsidRPr="00AB296F" w:rsidRDefault="00C611C0">
      <w:pPr>
        <w:rPr>
          <w:rFonts w:ascii="Times New Roman" w:hAnsi="Times New Roman" w:cs="Times New Roman"/>
          <w:b/>
          <w:sz w:val="24"/>
          <w:szCs w:val="24"/>
        </w:rPr>
      </w:pPr>
      <w:r w:rsidRPr="00AB296F">
        <w:rPr>
          <w:rFonts w:ascii="Times New Roman" w:hAnsi="Times New Roman" w:cs="Times New Roman"/>
          <w:b/>
          <w:sz w:val="24"/>
          <w:szCs w:val="24"/>
        </w:rPr>
        <w:t>Два аспекти медичної інформації – захист медичної таємниці і доступ до медичної інформації про себе.</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Будь-яке обмеження права особи на інформацію про стан здоров’я є порушенням її конституційного права. Людина може належним чином розпоряджатися (своїм життям, здоров’ям), давати згоду на медичне втручання або відмовлятися від нього тільки тоді, коли у неї достатньо відомостей для того, щоб прийняти певне рішення, вчинити необхідні дії тощо. Тому медичний працівник має надавати хворому усю існуючу та достовірну інформацію без будь-яких обмежень. </w:t>
      </w:r>
    </w:p>
    <w:p w:rsidR="00C611C0" w:rsidRPr="00AB296F" w:rsidRDefault="00C611C0" w:rsidP="00C611C0">
      <w:pPr>
        <w:jc w:val="both"/>
        <w:rPr>
          <w:rFonts w:ascii="Times New Roman" w:eastAsia="Times New Roman" w:hAnsi="Times New Roman" w:cs="Times New Roman"/>
          <w:color w:val="000000"/>
          <w:sz w:val="24"/>
          <w:szCs w:val="24"/>
          <w:lang w:eastAsia="uk-UA"/>
        </w:rPr>
      </w:pPr>
      <w:r w:rsidRPr="00AB296F">
        <w:rPr>
          <w:rFonts w:ascii="Times New Roman" w:eastAsia="Times New Roman" w:hAnsi="Times New Roman" w:cs="Times New Roman"/>
          <w:color w:val="000000"/>
          <w:sz w:val="24"/>
          <w:szCs w:val="24"/>
          <w:lang w:eastAsia="uk-UA"/>
        </w:rPr>
        <w:t xml:space="preserve">Медична документація повинна бути надана за вимогою хворого чи законного представника. Основними медичними документами є історія хвороби і амбулаторна карта хворого, однак, можуть бути й інші, які стосуються лікування і догляду. </w:t>
      </w:r>
    </w:p>
    <w:p w:rsidR="00C611C0" w:rsidRPr="00AB296F" w:rsidRDefault="00C611C0" w:rsidP="00C611C0">
      <w:pPr>
        <w:jc w:val="both"/>
        <w:rPr>
          <w:rFonts w:ascii="Times New Roman" w:eastAsia="Times New Roman" w:hAnsi="Times New Roman" w:cs="Times New Roman"/>
          <w:color w:val="000000"/>
          <w:sz w:val="24"/>
          <w:szCs w:val="24"/>
          <w:lang w:eastAsia="uk-UA"/>
        </w:rPr>
      </w:pPr>
      <w:r w:rsidRPr="00AB296F">
        <w:rPr>
          <w:rFonts w:ascii="Times New Roman" w:eastAsia="Times New Roman" w:hAnsi="Times New Roman" w:cs="Times New Roman"/>
          <w:color w:val="000000"/>
          <w:sz w:val="24"/>
          <w:szCs w:val="24"/>
          <w:lang w:eastAsia="uk-UA"/>
        </w:rPr>
        <w:t>Що важливо - інформація повинна надаватися пацієнту з урахуванням рівня його розуміння і з мінімальним вживанням незнайомої для нього спеціальної термінології.</w:t>
      </w:r>
    </w:p>
    <w:p w:rsidR="00C611C0" w:rsidRPr="00AB296F" w:rsidRDefault="00C611C0" w:rsidP="00C611C0">
      <w:pPr>
        <w:jc w:val="both"/>
        <w:rPr>
          <w:rFonts w:ascii="Times New Roman" w:hAnsi="Times New Roman" w:cs="Times New Roman"/>
          <w:b/>
          <w:sz w:val="24"/>
          <w:szCs w:val="24"/>
        </w:rPr>
      </w:pPr>
      <w:r w:rsidRPr="00AB296F">
        <w:rPr>
          <w:rFonts w:ascii="Times New Roman" w:hAnsi="Times New Roman" w:cs="Times New Roman"/>
          <w:sz w:val="24"/>
          <w:szCs w:val="24"/>
        </w:rPr>
        <w:t xml:space="preserve">Якщо пацієнт чи інша уповноважена особа запитуватиме інформацію в обсязі копій медичної документації, слід надавати копії витребуваних документів. </w:t>
      </w:r>
      <w:r w:rsidRPr="00AB296F">
        <w:rPr>
          <w:rFonts w:ascii="Times New Roman" w:hAnsi="Times New Roman" w:cs="Times New Roman"/>
          <w:b/>
          <w:sz w:val="24"/>
          <w:szCs w:val="24"/>
        </w:rPr>
        <w:t>Відповідно до ч. 4 ст. 21 Закону України «Про доступ до публічної інформації», при наданні особі інформації про себе плата за копіювання та друк не стягується. Також відповідно до ч. 1 ст. 19 Закону України «Про захист персональних даних», доступ суб’єкта персональних даних до даних про себе здійснюється безоплатно.</w:t>
      </w:r>
    </w:p>
    <w:p w:rsidR="00C611C0" w:rsidRPr="00AB296F" w:rsidRDefault="00C611C0" w:rsidP="00C611C0">
      <w:pPr>
        <w:jc w:val="both"/>
        <w:rPr>
          <w:rFonts w:ascii="Times New Roman" w:hAnsi="Times New Roman" w:cs="Times New Roman"/>
          <w:b/>
          <w:color w:val="000000"/>
          <w:sz w:val="24"/>
          <w:szCs w:val="24"/>
        </w:rPr>
      </w:pPr>
      <w:r w:rsidRPr="00AB296F">
        <w:rPr>
          <w:rFonts w:ascii="Times New Roman" w:hAnsi="Times New Roman" w:cs="Times New Roman"/>
          <w:b/>
          <w:color w:val="000000"/>
          <w:sz w:val="24"/>
          <w:szCs w:val="24"/>
        </w:rPr>
        <w:t xml:space="preserve">Для реалізації пацієнтом права на ознайомлення з відповідними медичними документами слід використовувати нормативні гарантії, визначені Законом України «Про захист персональних даних», поряд із положеннями, закріпленими в ч. 1 ст. 285 Цивільного кодексу України , ч. 1 </w:t>
      </w:r>
      <w:proofErr w:type="spellStart"/>
      <w:r w:rsidRPr="00AB296F">
        <w:rPr>
          <w:rFonts w:ascii="Times New Roman" w:hAnsi="Times New Roman" w:cs="Times New Roman"/>
          <w:b/>
          <w:color w:val="000000"/>
          <w:sz w:val="24"/>
          <w:szCs w:val="24"/>
        </w:rPr>
        <w:t>ст</w:t>
      </w:r>
      <w:proofErr w:type="spellEnd"/>
      <w:r w:rsidRPr="00AB296F">
        <w:rPr>
          <w:rFonts w:ascii="Times New Roman" w:hAnsi="Times New Roman" w:cs="Times New Roman"/>
          <w:b/>
          <w:color w:val="000000"/>
          <w:sz w:val="24"/>
          <w:szCs w:val="24"/>
        </w:rPr>
        <w:t xml:space="preserve"> . 39 Закону України «Основи законодавства України про охорону здоров’я». </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Коли особа, яка хворіє не бажає повідомити про свою хворобу близьким і прагне залишити це в таємниці, вона вправі визначати коло осіб, яким може бути повідомлено про стан її здоров’я. Розголошення можливе лише в окремих випадках та лише в інтересах хворого.</w:t>
      </w:r>
    </w:p>
    <w:p w:rsidR="00C611C0" w:rsidRPr="00AB296F" w:rsidRDefault="00C611C0" w:rsidP="00C611C0">
      <w:pPr>
        <w:pBdr>
          <w:bottom w:val="single" w:sz="6" w:space="0" w:color="C7D0D8"/>
        </w:pBdr>
        <w:shd w:val="clear" w:color="auto" w:fill="FFFFFF"/>
        <w:spacing w:after="150" w:line="305" w:lineRule="atLeast"/>
        <w:jc w:val="both"/>
        <w:outlineLvl w:val="0"/>
        <w:rPr>
          <w:rFonts w:ascii="Times New Roman" w:eastAsia="Times New Roman" w:hAnsi="Times New Roman" w:cs="Times New Roman"/>
          <w:bCs/>
          <w:i/>
          <w:color w:val="000000"/>
          <w:kern w:val="36"/>
          <w:sz w:val="24"/>
          <w:szCs w:val="24"/>
          <w:lang w:eastAsia="uk-UA"/>
        </w:rPr>
      </w:pPr>
      <w:r w:rsidRPr="00AB296F">
        <w:rPr>
          <w:rFonts w:ascii="Times New Roman" w:eastAsia="Times New Roman" w:hAnsi="Times New Roman" w:cs="Times New Roman"/>
          <w:bCs/>
          <w:i/>
          <w:color w:val="000000"/>
          <w:kern w:val="36"/>
          <w:sz w:val="24"/>
          <w:szCs w:val="24"/>
          <w:lang w:eastAsia="uk-UA"/>
        </w:rPr>
        <w:t>Стаття 285. Право на інформацію про стан свого здоров'я</w:t>
      </w:r>
    </w:p>
    <w:p w:rsidR="00C611C0" w:rsidRPr="00AB296F" w:rsidRDefault="00C611C0" w:rsidP="00C611C0">
      <w:pPr>
        <w:shd w:val="clear" w:color="auto" w:fill="FFFFFF"/>
        <w:spacing w:before="150" w:after="150" w:line="360" w:lineRule="atLeast"/>
        <w:jc w:val="both"/>
        <w:rPr>
          <w:rFonts w:ascii="Times New Roman" w:eastAsia="Times New Roman" w:hAnsi="Times New Roman" w:cs="Times New Roman"/>
          <w:i/>
          <w:color w:val="000000"/>
          <w:sz w:val="24"/>
          <w:szCs w:val="24"/>
          <w:lang w:eastAsia="uk-UA"/>
        </w:rPr>
      </w:pPr>
      <w:r w:rsidRPr="00AB296F">
        <w:rPr>
          <w:rFonts w:ascii="Times New Roman" w:eastAsia="Times New Roman" w:hAnsi="Times New Roman" w:cs="Times New Roman"/>
          <w:bCs/>
          <w:i/>
          <w:color w:val="000000"/>
          <w:sz w:val="24"/>
          <w:szCs w:val="24"/>
          <w:lang w:eastAsia="uk-UA"/>
        </w:rPr>
        <w:t>1.  Повнолітня фізична особа має право на достовірну і повну інформацію про стан свого здоров´я, у тому числі на ознайомлення з відповідними медичними документами, що стосуються її здоров´я.</w:t>
      </w:r>
    </w:p>
    <w:p w:rsidR="00C611C0" w:rsidRPr="00AB296F" w:rsidRDefault="00C611C0" w:rsidP="00C611C0">
      <w:pPr>
        <w:shd w:val="clear" w:color="auto" w:fill="FFFFFF"/>
        <w:spacing w:before="150" w:after="150" w:line="360" w:lineRule="atLeast"/>
        <w:jc w:val="both"/>
        <w:rPr>
          <w:rFonts w:ascii="Times New Roman" w:eastAsia="Times New Roman" w:hAnsi="Times New Roman" w:cs="Times New Roman"/>
          <w:i/>
          <w:color w:val="000000"/>
          <w:sz w:val="24"/>
          <w:szCs w:val="24"/>
          <w:lang w:eastAsia="uk-UA"/>
        </w:rPr>
      </w:pPr>
      <w:r w:rsidRPr="00AB296F">
        <w:rPr>
          <w:rFonts w:ascii="Times New Roman" w:eastAsia="Times New Roman" w:hAnsi="Times New Roman" w:cs="Times New Roman"/>
          <w:bCs/>
          <w:i/>
          <w:color w:val="000000"/>
          <w:sz w:val="24"/>
          <w:szCs w:val="24"/>
          <w:lang w:eastAsia="uk-UA"/>
        </w:rPr>
        <w:t>2.    Батьки    (</w:t>
      </w:r>
      <w:proofErr w:type="spellStart"/>
      <w:r w:rsidRPr="00AB296F">
        <w:rPr>
          <w:rFonts w:ascii="Times New Roman" w:eastAsia="Times New Roman" w:hAnsi="Times New Roman" w:cs="Times New Roman"/>
          <w:bCs/>
          <w:i/>
          <w:color w:val="000000"/>
          <w:sz w:val="24"/>
          <w:szCs w:val="24"/>
          <w:lang w:eastAsia="uk-UA"/>
        </w:rPr>
        <w:t>усиновлювачі</w:t>
      </w:r>
      <w:proofErr w:type="spellEnd"/>
      <w:r w:rsidRPr="00AB296F">
        <w:rPr>
          <w:rFonts w:ascii="Times New Roman" w:eastAsia="Times New Roman" w:hAnsi="Times New Roman" w:cs="Times New Roman"/>
          <w:bCs/>
          <w:i/>
          <w:color w:val="000000"/>
          <w:sz w:val="24"/>
          <w:szCs w:val="24"/>
          <w:lang w:eastAsia="uk-UA"/>
        </w:rPr>
        <w:t>),    опікун, піклувальник мають право на інформацію про стан здоров´я дитини або підопічного.</w:t>
      </w:r>
    </w:p>
    <w:p w:rsidR="00C611C0" w:rsidRPr="00AB296F" w:rsidRDefault="00C611C0" w:rsidP="00C611C0">
      <w:pPr>
        <w:jc w:val="both"/>
        <w:rPr>
          <w:rFonts w:ascii="Times New Roman" w:hAnsi="Times New Roman" w:cs="Times New Roman"/>
          <w:sz w:val="24"/>
          <w:szCs w:val="24"/>
        </w:rPr>
      </w:pPr>
    </w:p>
    <w:p w:rsidR="00C611C0" w:rsidRPr="00AB296F" w:rsidRDefault="00C611C0" w:rsidP="00C611C0">
      <w:pPr>
        <w:jc w:val="both"/>
        <w:rPr>
          <w:rFonts w:ascii="Times New Roman" w:hAnsi="Times New Roman" w:cs="Times New Roman"/>
          <w:sz w:val="24"/>
          <w:szCs w:val="24"/>
          <w:lang w:val="ru-RU"/>
        </w:rPr>
      </w:pPr>
      <w:r w:rsidRPr="00AB296F">
        <w:rPr>
          <w:rFonts w:ascii="Times New Roman" w:hAnsi="Times New Roman" w:cs="Times New Roman"/>
          <w:sz w:val="24"/>
          <w:szCs w:val="24"/>
        </w:rPr>
        <w:lastRenderedPageBreak/>
        <w:t xml:space="preserve">Хоч в законодавстві чітко передбачено право особи на повну та достовірну інформацію про стан свого здоров’я, здійснення цього права </w:t>
      </w:r>
      <w:proofErr w:type="spellStart"/>
      <w:r w:rsidRPr="00AB296F">
        <w:rPr>
          <w:rFonts w:ascii="Times New Roman" w:hAnsi="Times New Roman" w:cs="Times New Roman"/>
          <w:sz w:val="24"/>
          <w:szCs w:val="24"/>
        </w:rPr>
        <w:t>ускладнюється</w:t>
      </w:r>
      <w:proofErr w:type="spellEnd"/>
      <w:r w:rsidRPr="00AB296F">
        <w:rPr>
          <w:rFonts w:ascii="Times New Roman" w:hAnsi="Times New Roman" w:cs="Times New Roman"/>
          <w:sz w:val="24"/>
          <w:szCs w:val="24"/>
        </w:rPr>
        <w:t xml:space="preserve"> обмеженнями, пов’язаними з відповідними правами медичних працівників. У ч. 3 ст. 285 Цивільного кодексу України закріплено можливість медичних працівників давати неповну інформацію про стан здоров’я фізичної особи, право обмежити можливість їх ознайомлення з відповідними медичними документами, якщо ця інформація </w:t>
      </w:r>
      <w:r w:rsidRPr="00AB296F">
        <w:rPr>
          <w:rFonts w:ascii="Times New Roman" w:hAnsi="Times New Roman" w:cs="Times New Roman"/>
          <w:b/>
          <w:sz w:val="24"/>
          <w:szCs w:val="24"/>
        </w:rPr>
        <w:t>може погіршити стан здоров’я такої фізичної особи або зашкодити процесу лікування.</w:t>
      </w:r>
      <w:r w:rsidRPr="00AB296F">
        <w:rPr>
          <w:rFonts w:ascii="Times New Roman" w:hAnsi="Times New Roman" w:cs="Times New Roman"/>
          <w:sz w:val="24"/>
          <w:szCs w:val="24"/>
        </w:rPr>
        <w:t xml:space="preserve"> У ч. 3 ст. 39 «Основ законодавства України про охорону здоров’я» зазначено</w:t>
      </w:r>
      <w:r w:rsidRPr="00AB296F">
        <w:rPr>
          <w:rFonts w:ascii="Times New Roman" w:hAnsi="Times New Roman" w:cs="Times New Roman"/>
          <w:b/>
          <w:sz w:val="24"/>
          <w:szCs w:val="24"/>
        </w:rPr>
        <w:t>, що в особливих випадках, коли повна інформація може завдати шкоду здоров’ю пацієнта, лікар може її обмежити</w:t>
      </w:r>
      <w:r w:rsidRPr="00AB296F">
        <w:rPr>
          <w:rFonts w:ascii="Times New Roman" w:hAnsi="Times New Roman" w:cs="Times New Roman"/>
          <w:sz w:val="24"/>
          <w:szCs w:val="24"/>
        </w:rPr>
        <w:t>. В цьому разі він інформує членів сім’ї або законного представника пацієнта, враховуючи особисті інтереси хворого.</w:t>
      </w:r>
    </w:p>
    <w:p w:rsidR="00C611C0" w:rsidRPr="00AB296F" w:rsidRDefault="00C611C0" w:rsidP="00C611C0">
      <w:pPr>
        <w:jc w:val="both"/>
        <w:rPr>
          <w:rFonts w:ascii="Times New Roman" w:hAnsi="Times New Roman" w:cs="Times New Roman"/>
          <w:b/>
          <w:sz w:val="24"/>
          <w:szCs w:val="24"/>
        </w:rPr>
      </w:pPr>
      <w:r w:rsidRPr="00AB296F">
        <w:rPr>
          <w:rFonts w:ascii="Times New Roman" w:hAnsi="Times New Roman" w:cs="Times New Roman"/>
          <w:b/>
          <w:sz w:val="24"/>
          <w:szCs w:val="24"/>
        </w:rPr>
        <w:t xml:space="preserve">Розголошення інформації про стан здоров’я </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В статті 286 Цивільного кодексу України зазначено, що фізична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 забороняється вимагати та подавати за місцем роботи або навчання інформацію про діагноз та методи лікування фізичної особи.</w:t>
      </w:r>
    </w:p>
    <w:p w:rsidR="00C611C0" w:rsidRPr="00AB296F" w:rsidRDefault="00C611C0" w:rsidP="00C611C0">
      <w:pPr>
        <w:jc w:val="both"/>
        <w:rPr>
          <w:rFonts w:ascii="Times New Roman" w:hAnsi="Times New Roman" w:cs="Times New Roman"/>
          <w:i/>
          <w:sz w:val="24"/>
          <w:szCs w:val="24"/>
        </w:rPr>
      </w:pPr>
      <w:r w:rsidRPr="00AB296F">
        <w:rPr>
          <w:rFonts w:ascii="Times New Roman" w:hAnsi="Times New Roman" w:cs="Times New Roman"/>
          <w:i/>
          <w:sz w:val="24"/>
          <w:szCs w:val="24"/>
        </w:rPr>
        <w:t>Медична інформація про пацієнта може бути розголошена лише у визначених законом випадках - у разі письмової згоди самого пацієнта;</w:t>
      </w:r>
    </w:p>
    <w:p w:rsidR="00C611C0" w:rsidRPr="00AB296F" w:rsidRDefault="00C611C0" w:rsidP="00C611C0">
      <w:pPr>
        <w:jc w:val="both"/>
        <w:rPr>
          <w:rFonts w:ascii="Times New Roman" w:hAnsi="Times New Roman" w:cs="Times New Roman"/>
          <w:i/>
          <w:sz w:val="24"/>
          <w:szCs w:val="24"/>
        </w:rPr>
      </w:pPr>
      <w:r w:rsidRPr="00AB296F">
        <w:rPr>
          <w:rFonts w:ascii="Times New Roman" w:hAnsi="Times New Roman" w:cs="Times New Roman"/>
          <w:i/>
          <w:sz w:val="24"/>
          <w:szCs w:val="24"/>
        </w:rPr>
        <w:t xml:space="preserve">у випадку мотивованої вимоги органів дізнання, слідства, прокуратури і суду, </w:t>
      </w:r>
      <w:proofErr w:type="spellStart"/>
      <w:r w:rsidRPr="00AB296F">
        <w:rPr>
          <w:rFonts w:ascii="Times New Roman" w:hAnsi="Times New Roman" w:cs="Times New Roman"/>
          <w:i/>
          <w:sz w:val="24"/>
          <w:szCs w:val="24"/>
        </w:rPr>
        <w:t>санепідемслужби</w:t>
      </w:r>
      <w:proofErr w:type="spellEnd"/>
      <w:r w:rsidRPr="00AB296F">
        <w:rPr>
          <w:rFonts w:ascii="Times New Roman" w:hAnsi="Times New Roman" w:cs="Times New Roman"/>
          <w:i/>
          <w:sz w:val="24"/>
          <w:szCs w:val="24"/>
        </w:rPr>
        <w:t>;</w:t>
      </w:r>
    </w:p>
    <w:p w:rsidR="00C611C0" w:rsidRPr="00AB296F" w:rsidRDefault="00C611C0" w:rsidP="00C611C0">
      <w:pPr>
        <w:jc w:val="both"/>
        <w:rPr>
          <w:rFonts w:ascii="Times New Roman" w:hAnsi="Times New Roman" w:cs="Times New Roman"/>
          <w:i/>
          <w:sz w:val="24"/>
          <w:szCs w:val="24"/>
        </w:rPr>
      </w:pPr>
      <w:r w:rsidRPr="00AB296F">
        <w:rPr>
          <w:rFonts w:ascii="Times New Roman" w:hAnsi="Times New Roman" w:cs="Times New Roman"/>
          <w:i/>
          <w:sz w:val="24"/>
          <w:szCs w:val="24"/>
        </w:rPr>
        <w:t>якщо зберігання таємниці істотно загрожує здоров’ю і життю пацієнтів і/або інших осіб (небезпечні інфекційні захворювання);</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i/>
          <w:sz w:val="24"/>
          <w:szCs w:val="24"/>
        </w:rPr>
        <w:t xml:space="preserve">у випадку залучення до лікування інших спеціалістів, для яких ця інформація є </w:t>
      </w:r>
      <w:proofErr w:type="spellStart"/>
      <w:r w:rsidRPr="00AB296F">
        <w:rPr>
          <w:rFonts w:ascii="Times New Roman" w:hAnsi="Times New Roman" w:cs="Times New Roman"/>
          <w:i/>
          <w:sz w:val="24"/>
          <w:szCs w:val="24"/>
        </w:rPr>
        <w:t>професійно</w:t>
      </w:r>
      <w:proofErr w:type="spellEnd"/>
      <w:r w:rsidRPr="00AB296F">
        <w:rPr>
          <w:rFonts w:ascii="Times New Roman" w:hAnsi="Times New Roman" w:cs="Times New Roman"/>
          <w:i/>
          <w:sz w:val="24"/>
          <w:szCs w:val="24"/>
        </w:rPr>
        <w:t xml:space="preserve"> необхідною.</w:t>
      </w:r>
      <w:r w:rsidRPr="00AB296F">
        <w:rPr>
          <w:rFonts w:ascii="Times New Roman" w:hAnsi="Times New Roman" w:cs="Times New Roman"/>
          <w:sz w:val="24"/>
          <w:szCs w:val="24"/>
        </w:rPr>
        <w:t xml:space="preserve"> </w:t>
      </w:r>
    </w:p>
    <w:p w:rsidR="00C611C0" w:rsidRPr="00AB296F" w:rsidRDefault="00C611C0" w:rsidP="00C611C0">
      <w:pPr>
        <w:jc w:val="both"/>
        <w:rPr>
          <w:rFonts w:ascii="Times New Roman" w:hAnsi="Times New Roman" w:cs="Times New Roman"/>
          <w:sz w:val="24"/>
          <w:szCs w:val="24"/>
        </w:rPr>
      </w:pPr>
      <w:proofErr w:type="spellStart"/>
      <w:r w:rsidRPr="00AB296F">
        <w:rPr>
          <w:rFonts w:ascii="Times New Roman" w:hAnsi="Times New Roman" w:cs="Times New Roman"/>
          <w:sz w:val="24"/>
          <w:szCs w:val="24"/>
          <w:lang w:val="ru-RU"/>
        </w:rPr>
        <w:t>Інформація</w:t>
      </w:r>
      <w:proofErr w:type="spellEnd"/>
      <w:r w:rsidRPr="00AB296F">
        <w:rPr>
          <w:rFonts w:ascii="Times New Roman" w:hAnsi="Times New Roman" w:cs="Times New Roman"/>
          <w:sz w:val="24"/>
          <w:szCs w:val="24"/>
          <w:lang w:val="ru-RU"/>
        </w:rPr>
        <w:t xml:space="preserve"> для </w:t>
      </w:r>
      <w:proofErr w:type="spellStart"/>
      <w:r w:rsidRPr="00AB296F">
        <w:rPr>
          <w:rFonts w:ascii="Times New Roman" w:hAnsi="Times New Roman" w:cs="Times New Roman"/>
          <w:sz w:val="24"/>
          <w:szCs w:val="24"/>
          <w:lang w:val="ru-RU"/>
        </w:rPr>
        <w:t>пацієнта</w:t>
      </w:r>
      <w:proofErr w:type="spellEnd"/>
      <w:r w:rsidRPr="00AB296F">
        <w:rPr>
          <w:rFonts w:ascii="Times New Roman" w:hAnsi="Times New Roman" w:cs="Times New Roman"/>
          <w:sz w:val="24"/>
          <w:szCs w:val="24"/>
          <w:lang w:val="ru-RU"/>
        </w:rPr>
        <w:t xml:space="preserve"> </w:t>
      </w:r>
      <w:proofErr w:type="spellStart"/>
      <w:r w:rsidRPr="00AB296F">
        <w:rPr>
          <w:rFonts w:ascii="Times New Roman" w:hAnsi="Times New Roman" w:cs="Times New Roman"/>
          <w:sz w:val="24"/>
          <w:szCs w:val="24"/>
          <w:lang w:val="ru-RU"/>
        </w:rPr>
        <w:t>нерозривно</w:t>
      </w:r>
      <w:proofErr w:type="spellEnd"/>
      <w:r w:rsidRPr="00AB296F">
        <w:rPr>
          <w:rFonts w:ascii="Times New Roman" w:hAnsi="Times New Roman" w:cs="Times New Roman"/>
          <w:sz w:val="24"/>
          <w:szCs w:val="24"/>
          <w:lang w:val="ru-RU"/>
        </w:rPr>
        <w:t xml:space="preserve"> повязана з </w:t>
      </w:r>
      <w:r w:rsidRPr="00AB296F">
        <w:rPr>
          <w:rFonts w:ascii="Times New Roman" w:hAnsi="Times New Roman" w:cs="Times New Roman"/>
          <w:sz w:val="24"/>
          <w:szCs w:val="24"/>
        </w:rPr>
        <w:t xml:space="preserve">інформацією ПРО пацієнта, йдеться саме про гарантію її нерозголошення. В статті 286 Цивільного кодексу України визначено, що фізична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 забороняється вимагати та подавати за місцем роботи або навчання інформацію про діагноз та методи лікування фізичної особи. </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Кримінальний кодекс України встановлює кримінальну відповідальність за умисне розголошення лікарської таємниці особою, якій вона стала відома у зв’язку з виконанням професійних чи службових обов’язків і якщо таке діяння спричинило тяжкі наслідки для хворого (стаття 140). </w:t>
      </w:r>
      <w:r w:rsidRPr="00AB296F">
        <w:rPr>
          <w:rFonts w:ascii="Times New Roman" w:hAnsi="Times New Roman" w:cs="Times New Roman"/>
          <w:b/>
          <w:sz w:val="24"/>
          <w:szCs w:val="24"/>
        </w:rPr>
        <w:t>В статті 132 Кримінального кодексу визначається відповідальність за р</w:t>
      </w:r>
      <w:r w:rsidRPr="00AB296F">
        <w:rPr>
          <w:rFonts w:ascii="Times New Roman" w:hAnsi="Times New Roman" w:cs="Times New Roman"/>
          <w:b/>
          <w:color w:val="000000"/>
          <w:sz w:val="24"/>
          <w:szCs w:val="24"/>
          <w:shd w:val="clear" w:color="auto" w:fill="FFFFFF"/>
        </w:rPr>
        <w:t xml:space="preserve">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w:t>
      </w:r>
      <w:r w:rsidRPr="00AB296F">
        <w:rPr>
          <w:rFonts w:ascii="Times New Roman" w:hAnsi="Times New Roman" w:cs="Times New Roman"/>
          <w:b/>
          <w:sz w:val="24"/>
          <w:szCs w:val="24"/>
        </w:rPr>
        <w:t>Способи розголошення таких відомостей можуть бути різними - це можуть бути різного виду повідомлення, надання сторонній особі документів, що містять такі відомості, або недбале зберігання чи втрата таких документів та ін.</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color w:val="000000"/>
          <w:sz w:val="24"/>
          <w:szCs w:val="24"/>
        </w:rPr>
        <w:t>В «Основах законодавства України про охорону здоров’я» визначається, що 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 Забороняється вимагати та подавати за місцем роботи або навчання інформацію про діагноз та методи лікування пацієнта (стаття 39-1).</w:t>
      </w:r>
    </w:p>
    <w:p w:rsidR="00C611C0" w:rsidRPr="00AB296F" w:rsidRDefault="00C611C0" w:rsidP="00C611C0">
      <w:pPr>
        <w:jc w:val="both"/>
        <w:rPr>
          <w:rFonts w:ascii="Times New Roman" w:hAnsi="Times New Roman" w:cs="Times New Roman"/>
          <w:color w:val="000000"/>
          <w:sz w:val="24"/>
          <w:szCs w:val="24"/>
        </w:rPr>
      </w:pPr>
      <w:r w:rsidRPr="00AB296F">
        <w:rPr>
          <w:rFonts w:ascii="Times New Roman" w:hAnsi="Times New Roman" w:cs="Times New Roman"/>
          <w:color w:val="000000"/>
          <w:sz w:val="24"/>
          <w:szCs w:val="24"/>
        </w:rPr>
        <w:t xml:space="preserve">Закон «Про протидію поширенню </w:t>
      </w:r>
      <w:proofErr w:type="spellStart"/>
      <w:r w:rsidRPr="00AB296F">
        <w:rPr>
          <w:rFonts w:ascii="Times New Roman" w:hAnsi="Times New Roman" w:cs="Times New Roman"/>
          <w:color w:val="000000"/>
          <w:sz w:val="24"/>
          <w:szCs w:val="24"/>
        </w:rPr>
        <w:t>хвороб</w:t>
      </w:r>
      <w:proofErr w:type="spellEnd"/>
      <w:r w:rsidRPr="00AB296F">
        <w:rPr>
          <w:rFonts w:ascii="Times New Roman" w:hAnsi="Times New Roman" w:cs="Times New Roman"/>
          <w:color w:val="000000"/>
          <w:sz w:val="24"/>
          <w:szCs w:val="24"/>
        </w:rPr>
        <w:t xml:space="preserve">, зумовлених вірусом імунодефіциту людини (ВІЛ), та правовий і соціальний захист людей, які живуть з ВІЛ» зазначає, що відомості про </w:t>
      </w:r>
      <w:r w:rsidRPr="00AB296F">
        <w:rPr>
          <w:rFonts w:ascii="Times New Roman" w:hAnsi="Times New Roman" w:cs="Times New Roman"/>
          <w:color w:val="000000"/>
          <w:sz w:val="24"/>
          <w:szCs w:val="24"/>
        </w:rPr>
        <w:lastRenderedPageBreak/>
        <w:t>результати тестування особи з метою виявлення ВІЛ, про наявність або відсутність в особи ВІЛ-інфекції є конфіденційними та становлять лікарську таємницю. Медичні працівники зобов’язані вживати необхідних заходів для забезпечення належного зберігання конфіденційної інформації про людей, які живуть з ВІЛ, та захисту такої інформації від розголошення та розкриття третім особам (стаття 13 (ч. 3)).</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Звичайно, лікарська таємниця не є абсолютною. Законодавство України передбачає випадки, коли допускається розкриття інформації, яка належить до лікарської таємниці. Лікар, наприклад, зобов’язаний розкрити таємницю, коли її збереження може спричинити розповсюдження інфекційних захворювань, масових отруєнь та ін. Також, покази лікаря є необхідними у справах про статеві злочини і зараження венеричною хворобою чи ВІЛ-інфекцією. Однак розголошення таких відомостей може бути допущене виключно у передбачених законодавчими актами випадках. </w:t>
      </w:r>
    </w:p>
    <w:p w:rsidR="00C611C0" w:rsidRPr="00AB296F" w:rsidRDefault="00C611C0" w:rsidP="00C611C0">
      <w:pPr>
        <w:jc w:val="both"/>
        <w:rPr>
          <w:rFonts w:ascii="Times New Roman" w:hAnsi="Times New Roman" w:cs="Times New Roman"/>
          <w:sz w:val="24"/>
          <w:szCs w:val="24"/>
        </w:rPr>
      </w:pP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highlight w:val="yellow"/>
        </w:rPr>
        <w:t xml:space="preserve">Як забезпечується </w:t>
      </w:r>
      <w:proofErr w:type="spellStart"/>
      <w:r w:rsidRPr="00AB296F">
        <w:rPr>
          <w:rFonts w:ascii="Times New Roman" w:hAnsi="Times New Roman" w:cs="Times New Roman"/>
          <w:sz w:val="24"/>
          <w:szCs w:val="24"/>
          <w:highlight w:val="yellow"/>
        </w:rPr>
        <w:t>нерозкриття</w:t>
      </w:r>
      <w:proofErr w:type="spellEnd"/>
      <w:r w:rsidRPr="00AB296F">
        <w:rPr>
          <w:rFonts w:ascii="Times New Roman" w:hAnsi="Times New Roman" w:cs="Times New Roman"/>
          <w:sz w:val="24"/>
          <w:szCs w:val="24"/>
          <w:highlight w:val="yellow"/>
        </w:rPr>
        <w:t xml:space="preserve"> результатів тестування на ВІЛ?</w:t>
      </w:r>
      <w:r w:rsidRPr="00AB296F">
        <w:rPr>
          <w:rFonts w:ascii="Times New Roman" w:hAnsi="Times New Roman" w:cs="Times New Roman"/>
          <w:sz w:val="24"/>
          <w:szCs w:val="24"/>
        </w:rPr>
        <w:t xml:space="preserve"> </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 «Відомості про результати тестування особи з метою виявлення ВІЛ, про наявність або відсутність в особи ВІЛ-інфекції є конфіденційними та становлять лікарську таємницю. Медичні працівники зобов’язані вживати необхідних заходів для забезпечення належного зберігання конфіденційної інформації про людей, які живуть з ВІЛ, та захисту такої інформації від розголошення та розкриття третім особам (ч. 3 ст. 13).</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Передача медичним працівником відомостей, зазначених у частині третій цієї статті, дозволяється лише: особі, стосовно якої було проведено тестування, а у випадках та за умов, установлених частиною третьою статті 6 цього Закону, – батькам чи іншим законним представникам такої особи; іншим медичним працівникам та закладам охорони здоров’я – винятково у зв’язку з лікуванням цієї особи; іншим третім особам – лише за рішенням суду в установлених законом випадках» (ч. 4 ст. 13). (Про протидію поширенню </w:t>
      </w:r>
      <w:proofErr w:type="spellStart"/>
      <w:r w:rsidRPr="00AB296F">
        <w:rPr>
          <w:rFonts w:ascii="Times New Roman" w:hAnsi="Times New Roman" w:cs="Times New Roman"/>
          <w:sz w:val="24"/>
          <w:szCs w:val="24"/>
        </w:rPr>
        <w:t>хвороб</w:t>
      </w:r>
      <w:proofErr w:type="spellEnd"/>
      <w:r w:rsidRPr="00AB296F">
        <w:rPr>
          <w:rFonts w:ascii="Times New Roman" w:hAnsi="Times New Roman" w:cs="Times New Roman"/>
          <w:sz w:val="24"/>
          <w:szCs w:val="24"/>
        </w:rPr>
        <w:t>, зумовлених вірусом імунодефіциту людини (ВІЛ), та правовий і соціальний захист людей, які живуть з ВІЛ: Закон України від 12.12.1991 р. (у ред. від 23.12.2010 р.) [стаття 13].)</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«Враховуючи, що відомості про результат тесту на ВІЛ, наявність чи відсутність ВІЛ-інфекції в особи, яка пройшла медичний огляд, є конфіденційними та становлять лікарську таємницю, повідомлення про них дозволяється тільки особі, якої вони стосуються, а у випадках передбачених законами України, також законним представникам цієї особи, закладам охорони здоров’я, органам прокуратури, слідства, дізнавання та суду.</w:t>
      </w:r>
      <w:r w:rsidRPr="00AB296F">
        <w:rPr>
          <w:rFonts w:ascii="Times New Roman" w:hAnsi="Times New Roman" w:cs="Times New Roman"/>
          <w:sz w:val="24"/>
          <w:szCs w:val="24"/>
        </w:rPr>
        <w:br/>
        <w:t xml:space="preserve">Ці відомості не можуть бути повідомлені в державні немедичні або в недержавні (як медичні, так і немедичні) установи, організації, заклади, об’єднання громадян, навіть якщо </w:t>
      </w:r>
      <w:proofErr w:type="spellStart"/>
      <w:r w:rsidRPr="00AB296F">
        <w:rPr>
          <w:rFonts w:ascii="Times New Roman" w:hAnsi="Times New Roman" w:cs="Times New Roman"/>
          <w:sz w:val="24"/>
          <w:szCs w:val="24"/>
        </w:rPr>
        <w:t>передтестове</w:t>
      </w:r>
      <w:proofErr w:type="spellEnd"/>
      <w:r w:rsidRPr="00AB296F">
        <w:rPr>
          <w:rFonts w:ascii="Times New Roman" w:hAnsi="Times New Roman" w:cs="Times New Roman"/>
          <w:sz w:val="24"/>
          <w:szCs w:val="24"/>
        </w:rPr>
        <w:t xml:space="preserve"> консультування проведено в цих установах, організаціях, закладах» (п. 4.3). (Про удосконалення добровільного консультування і тестування на ВІЛ-інфекцію: Наказ МОЗ України від 19.08.2005 р. № 415 [п. 4.3].)</w:t>
      </w:r>
    </w:p>
    <w:p w:rsidR="00C611C0" w:rsidRPr="00AB296F" w:rsidRDefault="00C611C0" w:rsidP="00C611C0">
      <w:pPr>
        <w:jc w:val="both"/>
        <w:rPr>
          <w:rFonts w:ascii="Times New Roman" w:hAnsi="Times New Roman" w:cs="Times New Roman"/>
          <w:sz w:val="24"/>
          <w:szCs w:val="24"/>
        </w:rPr>
      </w:pP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highlight w:val="yellow"/>
        </w:rPr>
        <w:t>Чи може бути поширена інформація про лікування особи в наркологічному закладі?</w:t>
      </w:r>
      <w:r w:rsidRPr="00AB296F">
        <w:rPr>
          <w:rFonts w:ascii="Times New Roman" w:hAnsi="Times New Roman" w:cs="Times New Roman"/>
          <w:sz w:val="24"/>
          <w:szCs w:val="24"/>
        </w:rPr>
        <w:t xml:space="preserve"> </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 «…Відомості про лікування особи в наркологічному закладі можуть бути надані лише правоохоронним органам у разі притягнення цієї особи до кримінальної або адміністративної відповідальності». (Про заходи протидії незаконному обігу наркотичних засобів, психотропних речовин і прекурсорів та зловживанню ними: Закон України від 15.02.1995 р. (у ред. від 01.01.2008 р.) [стаття 14 (ч. 5)]).</w:t>
      </w:r>
    </w:p>
    <w:p w:rsidR="00C611C0" w:rsidRPr="00AB296F" w:rsidRDefault="00C611C0" w:rsidP="00C611C0">
      <w:pPr>
        <w:jc w:val="both"/>
        <w:rPr>
          <w:rFonts w:ascii="Times New Roman" w:hAnsi="Times New Roman" w:cs="Times New Roman"/>
          <w:sz w:val="24"/>
          <w:szCs w:val="24"/>
        </w:rPr>
      </w:pP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highlight w:val="yellow"/>
        </w:rPr>
        <w:lastRenderedPageBreak/>
        <w:t>Чи поширюється інформація про захворювання на туберкульоз у разі звільнення хворого з місць позбавлення волі?</w:t>
      </w:r>
      <w:r w:rsidRPr="00AB296F">
        <w:rPr>
          <w:rFonts w:ascii="Times New Roman" w:hAnsi="Times New Roman" w:cs="Times New Roman"/>
          <w:sz w:val="24"/>
          <w:szCs w:val="24"/>
        </w:rPr>
        <w:t xml:space="preserve"> </w:t>
      </w:r>
    </w:p>
    <w:p w:rsidR="00C611C0" w:rsidRPr="00AB296F" w:rsidRDefault="00C611C0" w:rsidP="00C611C0">
      <w:pPr>
        <w:jc w:val="both"/>
        <w:rPr>
          <w:rFonts w:ascii="Times New Roman" w:hAnsi="Times New Roman" w:cs="Times New Roman"/>
          <w:sz w:val="24"/>
          <w:szCs w:val="24"/>
        </w:rPr>
      </w:pPr>
      <w:r w:rsidRPr="00AB296F">
        <w:rPr>
          <w:rFonts w:ascii="Times New Roman" w:hAnsi="Times New Roman" w:cs="Times New Roman"/>
          <w:sz w:val="24"/>
          <w:szCs w:val="24"/>
        </w:rPr>
        <w:t xml:space="preserve"> «У разі звільнення хворого на туберкульоз з місць позбавлення волі установа виконання покарань, в якій хворий відбував покарання інформує про стан здоров'я та необхідність продовження лікування за обраним місцем проживання чи перебування, а також повідомляє про клінічну та диспансерну категорію його захворювання відповідний протитуберкульозний заклад» (ч. 2 ст. 18). (Про боротьбу із захворюванням на туберкульоз: Закон України 05.07.2001 р. [стаття 18].)</w:t>
      </w:r>
    </w:p>
    <w:p w:rsidR="00C611C0" w:rsidRPr="00AB296F" w:rsidRDefault="00C611C0" w:rsidP="00C611C0">
      <w:pPr>
        <w:jc w:val="both"/>
        <w:rPr>
          <w:rFonts w:ascii="Times New Roman" w:hAnsi="Times New Roman" w:cs="Times New Roman"/>
          <w:sz w:val="24"/>
          <w:szCs w:val="24"/>
        </w:rPr>
      </w:pPr>
    </w:p>
    <w:p w:rsidR="00C611C0" w:rsidRPr="00AB296F" w:rsidRDefault="00AB296F" w:rsidP="00C611C0">
      <w:pPr>
        <w:jc w:val="both"/>
        <w:rPr>
          <w:rFonts w:ascii="Times New Roman" w:hAnsi="Times New Roman" w:cs="Times New Roman"/>
          <w:b/>
          <w:sz w:val="24"/>
          <w:szCs w:val="24"/>
        </w:rPr>
      </w:pPr>
      <w:r w:rsidRPr="00AB296F">
        <w:rPr>
          <w:rFonts w:ascii="Times New Roman" w:hAnsi="Times New Roman" w:cs="Times New Roman"/>
          <w:b/>
          <w:sz w:val="24"/>
          <w:szCs w:val="24"/>
        </w:rPr>
        <w:t xml:space="preserve">Висновки та рекомендації </w:t>
      </w:r>
    </w:p>
    <w:p w:rsidR="00AB296F" w:rsidRPr="00AB296F" w:rsidRDefault="00AB296F" w:rsidP="00AB296F">
      <w:pPr>
        <w:pStyle w:val="a3"/>
        <w:numPr>
          <w:ilvl w:val="0"/>
          <w:numId w:val="3"/>
        </w:numPr>
        <w:jc w:val="both"/>
        <w:rPr>
          <w:rFonts w:ascii="Times New Roman" w:hAnsi="Times New Roman" w:cs="Times New Roman"/>
          <w:sz w:val="24"/>
          <w:szCs w:val="24"/>
        </w:rPr>
      </w:pPr>
      <w:r w:rsidRPr="00AB296F">
        <w:rPr>
          <w:rFonts w:ascii="Times New Roman" w:hAnsi="Times New Roman" w:cs="Times New Roman"/>
          <w:sz w:val="24"/>
          <w:szCs w:val="24"/>
        </w:rPr>
        <w:t xml:space="preserve">Посилення захисту персональних даних на інституційному рівні, розглянути питання про запровадження інститут інформаційного комісара. Посилення існуючого поки інституту в межах офісу Уповноваженого ВРУ з прав людини. </w:t>
      </w:r>
    </w:p>
    <w:p w:rsidR="00AB296F" w:rsidRPr="00AB296F" w:rsidRDefault="00AB296F" w:rsidP="00AB296F">
      <w:pPr>
        <w:pStyle w:val="a3"/>
        <w:numPr>
          <w:ilvl w:val="0"/>
          <w:numId w:val="3"/>
        </w:numPr>
        <w:jc w:val="both"/>
        <w:rPr>
          <w:rFonts w:ascii="Times New Roman" w:hAnsi="Times New Roman" w:cs="Times New Roman"/>
          <w:sz w:val="24"/>
          <w:szCs w:val="24"/>
        </w:rPr>
      </w:pPr>
      <w:r w:rsidRPr="00AB296F">
        <w:rPr>
          <w:rFonts w:ascii="Times New Roman" w:hAnsi="Times New Roman" w:cs="Times New Roman"/>
          <w:sz w:val="24"/>
          <w:szCs w:val="24"/>
        </w:rPr>
        <w:t xml:space="preserve">Забезпечити </w:t>
      </w:r>
      <w:proofErr w:type="spellStart"/>
      <w:r w:rsidRPr="00AB296F">
        <w:rPr>
          <w:rFonts w:ascii="Times New Roman" w:hAnsi="Times New Roman" w:cs="Times New Roman"/>
          <w:sz w:val="24"/>
          <w:szCs w:val="24"/>
        </w:rPr>
        <w:t>нерозкриття</w:t>
      </w:r>
      <w:proofErr w:type="spellEnd"/>
      <w:r w:rsidRPr="00AB296F">
        <w:rPr>
          <w:rFonts w:ascii="Times New Roman" w:hAnsi="Times New Roman" w:cs="Times New Roman"/>
          <w:sz w:val="24"/>
          <w:szCs w:val="24"/>
        </w:rPr>
        <w:t xml:space="preserve"> статусу ВІЛ-позитивних осіб через оприлюднення інформації в реєстрі судових рішень. </w:t>
      </w:r>
    </w:p>
    <w:p w:rsidR="00AB296F" w:rsidRPr="00AB296F" w:rsidRDefault="00AB296F" w:rsidP="00AB296F">
      <w:pPr>
        <w:pStyle w:val="a3"/>
        <w:jc w:val="both"/>
        <w:rPr>
          <w:rFonts w:ascii="Times New Roman" w:hAnsi="Times New Roman" w:cs="Times New Roman"/>
          <w:sz w:val="24"/>
          <w:szCs w:val="24"/>
        </w:rPr>
      </w:pPr>
    </w:p>
    <w:p w:rsidR="00C611C0" w:rsidRPr="00AB296F" w:rsidRDefault="00C611C0">
      <w:pPr>
        <w:rPr>
          <w:rFonts w:ascii="Times New Roman" w:hAnsi="Times New Roman" w:cs="Times New Roman"/>
          <w:b/>
          <w:sz w:val="24"/>
          <w:szCs w:val="24"/>
        </w:rPr>
      </w:pPr>
    </w:p>
    <w:sectPr w:rsidR="00C611C0" w:rsidRPr="00AB29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2A9"/>
    <w:multiLevelType w:val="hybridMultilevel"/>
    <w:tmpl w:val="0EE25C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737EC4"/>
    <w:multiLevelType w:val="hybridMultilevel"/>
    <w:tmpl w:val="F8325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F5A3FDE"/>
    <w:multiLevelType w:val="hybridMultilevel"/>
    <w:tmpl w:val="812275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F0"/>
    <w:rsid w:val="00245E5E"/>
    <w:rsid w:val="00460CA0"/>
    <w:rsid w:val="004A740F"/>
    <w:rsid w:val="00670AC2"/>
    <w:rsid w:val="00AB296F"/>
    <w:rsid w:val="00AE1C5A"/>
    <w:rsid w:val="00B268D3"/>
    <w:rsid w:val="00B9158A"/>
    <w:rsid w:val="00C611C0"/>
    <w:rsid w:val="00CA1FF0"/>
    <w:rsid w:val="00CB499D"/>
    <w:rsid w:val="00FD4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C39"/>
  <w15:chartTrackingRefBased/>
  <w15:docId w15:val="{BF9F4C98-EC9D-476A-98D6-2407885B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99D"/>
    <w:pPr>
      <w:ind w:left="720"/>
      <w:contextualSpacing/>
    </w:pPr>
  </w:style>
  <w:style w:type="paragraph" w:styleId="HTML">
    <w:name w:val="HTML Preformatted"/>
    <w:basedOn w:val="a"/>
    <w:link w:val="HTML0"/>
    <w:uiPriority w:val="99"/>
    <w:semiHidden/>
    <w:unhideWhenUsed/>
    <w:rsid w:val="004A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A740F"/>
    <w:rPr>
      <w:rFonts w:ascii="Courier New" w:eastAsia="Times New Roman" w:hAnsi="Courier New" w:cs="Courier New"/>
      <w:sz w:val="20"/>
      <w:szCs w:val="20"/>
      <w:lang w:eastAsia="uk-UA"/>
    </w:rPr>
  </w:style>
  <w:style w:type="character" w:styleId="a4">
    <w:name w:val="Hyperlink"/>
    <w:basedOn w:val="a0"/>
    <w:uiPriority w:val="99"/>
    <w:semiHidden/>
    <w:unhideWhenUsed/>
    <w:rsid w:val="004A740F"/>
    <w:rPr>
      <w:color w:val="0000FF"/>
      <w:u w:val="single"/>
    </w:rPr>
  </w:style>
  <w:style w:type="paragraph" w:customStyle="1" w:styleId="rvps2">
    <w:name w:val="rvps2"/>
    <w:basedOn w:val="a"/>
    <w:rsid w:val="00AE1C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E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5664">
      <w:bodyDiv w:val="1"/>
      <w:marLeft w:val="0"/>
      <w:marRight w:val="0"/>
      <w:marTop w:val="0"/>
      <w:marBottom w:val="0"/>
      <w:divBdr>
        <w:top w:val="none" w:sz="0" w:space="0" w:color="auto"/>
        <w:left w:val="none" w:sz="0" w:space="0" w:color="auto"/>
        <w:bottom w:val="none" w:sz="0" w:space="0" w:color="auto"/>
        <w:right w:val="none" w:sz="0" w:space="0" w:color="auto"/>
      </w:divBdr>
      <w:divsChild>
        <w:div w:id="1330713863">
          <w:marLeft w:val="0"/>
          <w:marRight w:val="0"/>
          <w:marTop w:val="0"/>
          <w:marBottom w:val="0"/>
          <w:divBdr>
            <w:top w:val="none" w:sz="0" w:space="0" w:color="auto"/>
            <w:left w:val="none" w:sz="0" w:space="0" w:color="auto"/>
            <w:bottom w:val="none" w:sz="0" w:space="0" w:color="auto"/>
            <w:right w:val="none" w:sz="0" w:space="0" w:color="auto"/>
          </w:divBdr>
          <w:divsChild>
            <w:div w:id="1541622721">
              <w:marLeft w:val="0"/>
              <w:marRight w:val="0"/>
              <w:marTop w:val="0"/>
              <w:marBottom w:val="0"/>
              <w:divBdr>
                <w:top w:val="none" w:sz="0" w:space="0" w:color="auto"/>
                <w:left w:val="none" w:sz="0" w:space="0" w:color="auto"/>
                <w:bottom w:val="none" w:sz="0" w:space="0" w:color="auto"/>
                <w:right w:val="none" w:sz="0" w:space="0" w:color="auto"/>
              </w:divBdr>
            </w:div>
            <w:div w:id="1455907235">
              <w:marLeft w:val="0"/>
              <w:marRight w:val="0"/>
              <w:marTop w:val="0"/>
              <w:marBottom w:val="0"/>
              <w:divBdr>
                <w:top w:val="none" w:sz="0" w:space="0" w:color="auto"/>
                <w:left w:val="none" w:sz="0" w:space="0" w:color="auto"/>
                <w:bottom w:val="none" w:sz="0" w:space="0" w:color="auto"/>
                <w:right w:val="none" w:sz="0" w:space="0" w:color="auto"/>
              </w:divBdr>
            </w:div>
          </w:divsChild>
        </w:div>
        <w:div w:id="1685280900">
          <w:marLeft w:val="0"/>
          <w:marRight w:val="0"/>
          <w:marTop w:val="0"/>
          <w:marBottom w:val="0"/>
          <w:divBdr>
            <w:top w:val="none" w:sz="0" w:space="0" w:color="auto"/>
            <w:left w:val="none" w:sz="0" w:space="0" w:color="auto"/>
            <w:bottom w:val="single" w:sz="18" w:space="0" w:color="55B0ED"/>
            <w:right w:val="none" w:sz="0" w:space="0" w:color="auto"/>
          </w:divBdr>
        </w:div>
        <w:div w:id="184026636">
          <w:marLeft w:val="0"/>
          <w:marRight w:val="0"/>
          <w:marTop w:val="0"/>
          <w:marBottom w:val="0"/>
          <w:divBdr>
            <w:top w:val="none" w:sz="0" w:space="0" w:color="auto"/>
            <w:left w:val="none" w:sz="0" w:space="0" w:color="auto"/>
            <w:bottom w:val="none" w:sz="0" w:space="0" w:color="auto"/>
            <w:right w:val="none" w:sz="0" w:space="0" w:color="auto"/>
          </w:divBdr>
          <w:divsChild>
            <w:div w:id="431634383">
              <w:marLeft w:val="0"/>
              <w:marRight w:val="0"/>
              <w:marTop w:val="0"/>
              <w:marBottom w:val="0"/>
              <w:divBdr>
                <w:top w:val="none" w:sz="0" w:space="0" w:color="auto"/>
                <w:left w:val="single" w:sz="6" w:space="0" w:color="CCCCCC"/>
                <w:bottom w:val="none" w:sz="0" w:space="0" w:color="auto"/>
                <w:right w:val="single" w:sz="6" w:space="0" w:color="CCCCCC"/>
              </w:divBdr>
              <w:divsChild>
                <w:div w:id="1529903260">
                  <w:marLeft w:val="-225"/>
                  <w:marRight w:val="-225"/>
                  <w:marTop w:val="0"/>
                  <w:marBottom w:val="0"/>
                  <w:divBdr>
                    <w:top w:val="none" w:sz="0" w:space="0" w:color="auto"/>
                    <w:left w:val="none" w:sz="0" w:space="0" w:color="auto"/>
                    <w:bottom w:val="none" w:sz="0" w:space="0" w:color="auto"/>
                    <w:right w:val="none" w:sz="0" w:space="0" w:color="auto"/>
                  </w:divBdr>
                  <w:divsChild>
                    <w:div w:id="1750689481">
                      <w:marLeft w:val="0"/>
                      <w:marRight w:val="0"/>
                      <w:marTop w:val="0"/>
                      <w:marBottom w:val="0"/>
                      <w:divBdr>
                        <w:top w:val="none" w:sz="0" w:space="0" w:color="auto"/>
                        <w:left w:val="none" w:sz="0" w:space="0" w:color="auto"/>
                        <w:bottom w:val="none" w:sz="0" w:space="0" w:color="auto"/>
                        <w:right w:val="none" w:sz="0" w:space="0" w:color="auto"/>
                      </w:divBdr>
                      <w:divsChild>
                        <w:div w:id="1602836328">
                          <w:marLeft w:val="0"/>
                          <w:marRight w:val="0"/>
                          <w:marTop w:val="0"/>
                          <w:marBottom w:val="0"/>
                          <w:divBdr>
                            <w:top w:val="none" w:sz="0" w:space="0" w:color="auto"/>
                            <w:left w:val="none" w:sz="0" w:space="0" w:color="auto"/>
                            <w:bottom w:val="single" w:sz="48" w:space="0" w:color="CCCCCC"/>
                            <w:right w:val="none" w:sz="0" w:space="0" w:color="auto"/>
                          </w:divBdr>
                        </w:div>
                        <w:div w:id="944732142">
                          <w:marLeft w:val="0"/>
                          <w:marRight w:val="0"/>
                          <w:marTop w:val="0"/>
                          <w:marBottom w:val="0"/>
                          <w:divBdr>
                            <w:top w:val="single" w:sz="6" w:space="0" w:color="BBBBBB"/>
                            <w:left w:val="single" w:sz="6" w:space="0" w:color="BBBBBB"/>
                            <w:bottom w:val="single" w:sz="6" w:space="0" w:color="E3E3E3"/>
                            <w:right w:val="single" w:sz="6" w:space="0" w:color="E3E3E3"/>
                          </w:divBdr>
                          <w:divsChild>
                            <w:div w:id="1579435998">
                              <w:marLeft w:val="0"/>
                              <w:marRight w:val="0"/>
                              <w:marTop w:val="0"/>
                              <w:marBottom w:val="0"/>
                              <w:divBdr>
                                <w:top w:val="none" w:sz="0" w:space="0" w:color="auto"/>
                                <w:left w:val="none" w:sz="0" w:space="0" w:color="auto"/>
                                <w:bottom w:val="none" w:sz="0" w:space="0" w:color="auto"/>
                                <w:right w:val="none" w:sz="0" w:space="0" w:color="auto"/>
                              </w:divBdr>
                            </w:div>
                          </w:divsChild>
                        </w:div>
                        <w:div w:id="565725248">
                          <w:marLeft w:val="0"/>
                          <w:marRight w:val="0"/>
                          <w:marTop w:val="0"/>
                          <w:marBottom w:val="0"/>
                          <w:divBdr>
                            <w:top w:val="none" w:sz="0" w:space="0" w:color="auto"/>
                            <w:left w:val="none" w:sz="0" w:space="0" w:color="auto"/>
                            <w:bottom w:val="none" w:sz="0" w:space="0" w:color="auto"/>
                            <w:right w:val="none" w:sz="0" w:space="0" w:color="auto"/>
                          </w:divBdr>
                          <w:divsChild>
                            <w:div w:id="599025108">
                              <w:marLeft w:val="0"/>
                              <w:marRight w:val="0"/>
                              <w:marTop w:val="0"/>
                              <w:marBottom w:val="0"/>
                              <w:divBdr>
                                <w:top w:val="none" w:sz="0" w:space="0" w:color="auto"/>
                                <w:left w:val="none" w:sz="0" w:space="0" w:color="auto"/>
                                <w:bottom w:val="none" w:sz="0" w:space="0" w:color="auto"/>
                                <w:right w:val="none" w:sz="0" w:space="0" w:color="auto"/>
                              </w:divBdr>
                            </w:div>
                          </w:divsChild>
                        </w:div>
                        <w:div w:id="1514344782">
                          <w:marLeft w:val="0"/>
                          <w:marRight w:val="0"/>
                          <w:marTop w:val="0"/>
                          <w:marBottom w:val="0"/>
                          <w:divBdr>
                            <w:top w:val="single" w:sz="6" w:space="0" w:color="8EB8CE"/>
                            <w:left w:val="single" w:sz="6" w:space="0" w:color="8EB8CE"/>
                            <w:bottom w:val="single" w:sz="6" w:space="0" w:color="CAE8FC"/>
                            <w:right w:val="single" w:sz="6" w:space="0" w:color="CAE8FC"/>
                          </w:divBdr>
                        </w:div>
                        <w:div w:id="797916531">
                          <w:marLeft w:val="0"/>
                          <w:marRight w:val="0"/>
                          <w:marTop w:val="0"/>
                          <w:marBottom w:val="0"/>
                          <w:divBdr>
                            <w:top w:val="none" w:sz="0" w:space="0" w:color="auto"/>
                            <w:left w:val="none" w:sz="0" w:space="0" w:color="auto"/>
                            <w:bottom w:val="none" w:sz="0" w:space="0" w:color="auto"/>
                            <w:right w:val="none" w:sz="0" w:space="0" w:color="auto"/>
                          </w:divBdr>
                          <w:divsChild>
                            <w:div w:id="1789467534">
                              <w:marLeft w:val="0"/>
                              <w:marRight w:val="0"/>
                              <w:marTop w:val="0"/>
                              <w:marBottom w:val="0"/>
                              <w:divBdr>
                                <w:top w:val="none" w:sz="0" w:space="0" w:color="auto"/>
                                <w:left w:val="none" w:sz="0" w:space="0" w:color="auto"/>
                                <w:bottom w:val="none" w:sz="0" w:space="0" w:color="auto"/>
                                <w:right w:val="none" w:sz="0" w:space="0" w:color="auto"/>
                              </w:divBdr>
                            </w:div>
                          </w:divsChild>
                        </w:div>
                        <w:div w:id="657003918">
                          <w:marLeft w:val="0"/>
                          <w:marRight w:val="0"/>
                          <w:marTop w:val="0"/>
                          <w:marBottom w:val="0"/>
                          <w:divBdr>
                            <w:top w:val="single" w:sz="6" w:space="0" w:color="E0E0E0"/>
                            <w:left w:val="single" w:sz="6" w:space="0" w:color="E0E0E0"/>
                            <w:bottom w:val="single" w:sz="6" w:space="0" w:color="E0E0E0"/>
                            <w:right w:val="single" w:sz="6" w:space="0" w:color="E0E0E0"/>
                          </w:divBdr>
                          <w:divsChild>
                            <w:div w:id="1338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8442">
          <w:marLeft w:val="30"/>
          <w:marRight w:val="30"/>
          <w:marTop w:val="60"/>
          <w:marBottom w:val="60"/>
          <w:divBdr>
            <w:top w:val="single" w:sz="6" w:space="0" w:color="080808"/>
            <w:left w:val="single" w:sz="6" w:space="0" w:color="080808"/>
            <w:bottom w:val="single" w:sz="6" w:space="0" w:color="080808"/>
            <w:right w:val="single" w:sz="6" w:space="0" w:color="080808"/>
          </w:divBdr>
        </w:div>
        <w:div w:id="778987615">
          <w:marLeft w:val="0"/>
          <w:marRight w:val="0"/>
          <w:marTop w:val="0"/>
          <w:marBottom w:val="0"/>
          <w:divBdr>
            <w:top w:val="single" w:sz="18" w:space="0" w:color="3499DB"/>
            <w:left w:val="none" w:sz="0" w:space="0" w:color="auto"/>
            <w:bottom w:val="none" w:sz="0" w:space="0" w:color="auto"/>
            <w:right w:val="none" w:sz="0" w:space="0" w:color="auto"/>
          </w:divBdr>
          <w:divsChild>
            <w:div w:id="12046309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73865253">
      <w:bodyDiv w:val="1"/>
      <w:marLeft w:val="0"/>
      <w:marRight w:val="0"/>
      <w:marTop w:val="0"/>
      <w:marBottom w:val="0"/>
      <w:divBdr>
        <w:top w:val="none" w:sz="0" w:space="0" w:color="auto"/>
        <w:left w:val="none" w:sz="0" w:space="0" w:color="auto"/>
        <w:bottom w:val="none" w:sz="0" w:space="0" w:color="auto"/>
        <w:right w:val="none" w:sz="0" w:space="0" w:color="auto"/>
      </w:divBdr>
    </w:div>
    <w:div w:id="17900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939-17" TargetMode="External"/><Relationship Id="rId5" Type="http://schemas.openxmlformats.org/officeDocument/2006/relationships/hyperlink" Target="http://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8689</Words>
  <Characters>4953</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Сергій М'ясоєдов</cp:lastModifiedBy>
  <cp:revision>3</cp:revision>
  <dcterms:created xsi:type="dcterms:W3CDTF">2018-12-10T15:47:00Z</dcterms:created>
  <dcterms:modified xsi:type="dcterms:W3CDTF">2018-12-10T16:50:00Z</dcterms:modified>
</cp:coreProperties>
</file>